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78507A">
      <w:pPr>
        <w:jc w:val="center"/>
        <w:rPr>
          <w:rFonts w:ascii="黑体" w:hAnsi="黑体" w:eastAsia="黑体"/>
          <w:b/>
          <w:sz w:val="44"/>
          <w:szCs w:val="44"/>
        </w:rPr>
      </w:pPr>
      <w:r>
        <w:rPr>
          <w:rFonts w:hint="eastAsia" w:ascii="黑体" w:hAnsi="黑体" w:eastAsia="黑体"/>
          <w:b/>
          <w:sz w:val="44"/>
          <w:szCs w:val="44"/>
        </w:rPr>
        <w:t>泰安市中医医院师承教育工作</w:t>
      </w:r>
    </w:p>
    <w:p w14:paraId="236710B6">
      <w:pPr>
        <w:jc w:val="center"/>
        <w:rPr>
          <w:rFonts w:hint="eastAsia" w:ascii="宋体" w:hAnsi="宋体"/>
          <w:sz w:val="44"/>
          <w:szCs w:val="44"/>
        </w:rPr>
      </w:pPr>
      <w:r>
        <w:rPr>
          <w:rFonts w:hint="eastAsia" w:ascii="黑体" w:hAnsi="黑体" w:eastAsia="黑体"/>
          <w:b/>
          <w:sz w:val="44"/>
          <w:szCs w:val="44"/>
        </w:rPr>
        <w:t>医案记录</w:t>
      </w:r>
      <w:r>
        <w:rPr>
          <w:rFonts w:hint="eastAsia" w:ascii="宋体" w:hAnsi="宋体"/>
          <w:sz w:val="44"/>
          <w:szCs w:val="44"/>
        </w:rPr>
        <w:t>（跟师</w:t>
      </w:r>
      <w:r>
        <w:rPr>
          <w:rFonts w:hint="eastAsia" w:ascii="宋体" w:hAnsi="宋体"/>
          <w:sz w:val="44"/>
          <w:szCs w:val="44"/>
          <w:lang w:eastAsia="zh-CN"/>
        </w:rPr>
        <w:t>☑</w:t>
      </w:r>
      <w:r>
        <w:rPr>
          <w:rFonts w:hint="eastAsia" w:ascii="宋体" w:hAnsi="宋体"/>
          <w:sz w:val="44"/>
          <w:szCs w:val="44"/>
        </w:rPr>
        <w:t xml:space="preserve">  独立</w:t>
      </w:r>
      <w:r>
        <w:rPr>
          <w:rFonts w:hint="eastAsia" w:ascii="宋体" w:hAnsi="宋体"/>
          <w:sz w:val="44"/>
          <w:szCs w:val="44"/>
          <w:lang w:eastAsia="zh-CN"/>
        </w:rPr>
        <w:t>□</w:t>
      </w:r>
      <w:r>
        <w:rPr>
          <w:rFonts w:hint="eastAsia" w:ascii="宋体" w:hAnsi="宋体"/>
          <w:sz w:val="44"/>
          <w:szCs w:val="44"/>
        </w:rPr>
        <w:t>）</w:t>
      </w:r>
    </w:p>
    <w:p w14:paraId="7349B0A3">
      <w:pPr>
        <w:jc w:val="center"/>
        <w:rPr>
          <w:rFonts w:hint="eastAsia" w:ascii="宋体" w:hAnsi="宋体"/>
          <w:sz w:val="44"/>
          <w:szCs w:val="44"/>
        </w:rPr>
      </w:pPr>
    </w:p>
    <w:p w14:paraId="370ECAA4">
      <w:pPr>
        <w:spacing w:line="360" w:lineRule="auto"/>
        <w:rPr>
          <w:rFonts w:hint="default" w:ascii="仿宋_GB2312" w:eastAsia="仿宋_GB2312"/>
          <w:sz w:val="24"/>
          <w:szCs w:val="24"/>
          <w:lang w:val="en-US" w:eastAsia="zh-CN"/>
        </w:rPr>
      </w:pPr>
      <w:r>
        <w:rPr>
          <w:rFonts w:hint="eastAsia" w:ascii="仿宋_GB2312" w:eastAsia="仿宋_GB2312"/>
          <w:sz w:val="24"/>
          <w:szCs w:val="24"/>
        </w:rPr>
        <w:t xml:space="preserve">患者姓名： </w:t>
      </w:r>
      <w:r>
        <w:rPr>
          <w:rFonts w:hint="eastAsia" w:ascii="仿宋_GB2312" w:eastAsia="仿宋_GB2312"/>
          <w:sz w:val="24"/>
          <w:szCs w:val="24"/>
          <w:lang w:eastAsia="zh-CN"/>
        </w:rPr>
        <w:t>韩某</w:t>
      </w:r>
      <w:r>
        <w:rPr>
          <w:rFonts w:hint="eastAsia" w:ascii="仿宋_GB2312" w:eastAsia="仿宋_GB2312"/>
          <w:sz w:val="24"/>
          <w:szCs w:val="24"/>
        </w:rPr>
        <w:t xml:space="preserve">     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 xml:space="preserve">       </w:t>
      </w:r>
      <w:r>
        <w:rPr>
          <w:rFonts w:hint="eastAsia" w:ascii="仿宋_GB2312" w:eastAsia="仿宋_GB2312"/>
          <w:sz w:val="24"/>
          <w:szCs w:val="24"/>
        </w:rPr>
        <w:t xml:space="preserve">性别： </w:t>
      </w:r>
      <w:r>
        <w:rPr>
          <w:rFonts w:hint="eastAsia" w:ascii="仿宋_GB2312" w:eastAsia="仿宋_GB2312"/>
          <w:sz w:val="24"/>
          <w:szCs w:val="24"/>
          <w:lang w:eastAsia="zh-CN"/>
        </w:rPr>
        <w:t>男</w:t>
      </w:r>
      <w:r>
        <w:rPr>
          <w:rFonts w:hint="eastAsia" w:ascii="仿宋_GB2312" w:eastAsia="仿宋_GB2312"/>
          <w:sz w:val="24"/>
          <w:szCs w:val="24"/>
        </w:rPr>
        <w:t xml:space="preserve">      出生日期：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>1968.04</w:t>
      </w:r>
    </w:p>
    <w:p w14:paraId="53FBC3AD">
      <w:pPr>
        <w:spacing w:line="360" w:lineRule="auto"/>
        <w:rPr>
          <w:rFonts w:hint="eastAsia" w:ascii="仿宋_GB2312" w:eastAsia="仿宋_GB2312"/>
          <w:sz w:val="24"/>
          <w:szCs w:val="24"/>
          <w:lang w:val="en-US" w:eastAsia="zh-CN"/>
        </w:rPr>
      </w:pPr>
      <w:r>
        <w:rPr>
          <w:rFonts w:hint="eastAsia" w:ascii="仿宋_GB2312" w:eastAsia="仿宋_GB2312"/>
          <w:sz w:val="24"/>
          <w:szCs w:val="24"/>
        </w:rPr>
        <w:t xml:space="preserve">就诊日期： 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>2024.04.20</w:t>
      </w:r>
      <w:r>
        <w:rPr>
          <w:rFonts w:hint="eastAsia" w:ascii="仿宋_GB2312" w:eastAsia="仿宋_GB2312"/>
          <w:sz w:val="24"/>
          <w:szCs w:val="24"/>
        </w:rPr>
        <w:t xml:space="preserve">      初诊           发病节气：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>谷雨</w:t>
      </w:r>
    </w:p>
    <w:p w14:paraId="0AB69625">
      <w:pPr>
        <w:spacing w:line="360" w:lineRule="auto"/>
        <w:rPr>
          <w:rFonts w:ascii="仿宋_GB2312" w:eastAsia="仿宋_GB2312"/>
          <w:sz w:val="24"/>
          <w:szCs w:val="24"/>
        </w:rPr>
      </w:pPr>
    </w:p>
    <w:p w14:paraId="57CEE49B">
      <w:pPr>
        <w:spacing w:line="360" w:lineRule="auto"/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主  诉：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>头晕、头昏沉1 年。</w:t>
      </w:r>
    </w:p>
    <w:p w14:paraId="377FAC03">
      <w:pPr>
        <w:spacing w:line="360" w:lineRule="auto"/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现病史：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>1年前无原因出现头晕、头昏沉，记忆力减退，思维正常，两目干涩，头面烘热，时有燥热， 乏力，上午困倦，肩颈僵硬，时有右上肢麻木，情绪尚可，纳食可，鼾眠有憋醒及呼吸暂停，大便干，小便黄、灼热感。舌红尖甚，苔黄腻;脉弦滑。</w:t>
      </w:r>
    </w:p>
    <w:p w14:paraId="76C9FC62">
      <w:pPr>
        <w:spacing w:line="360" w:lineRule="auto"/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既往史：</w:t>
      </w:r>
      <w:r>
        <w:rPr>
          <w:rFonts w:hint="eastAsia" w:ascii="仿宋_GB2312" w:eastAsia="仿宋_GB2312"/>
          <w:sz w:val="24"/>
          <w:szCs w:val="24"/>
          <w:lang w:eastAsia="zh-CN"/>
        </w:rPr>
        <w:t>有高血压病史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>5年余，有高脂血症病史5年余。</w:t>
      </w:r>
    </w:p>
    <w:p w14:paraId="47F3237E">
      <w:pPr>
        <w:spacing w:line="360" w:lineRule="auto"/>
        <w:rPr>
          <w:rFonts w:hint="eastAsia" w:ascii="仿宋_GB2312" w:eastAsia="仿宋_GB2312"/>
          <w:sz w:val="24"/>
          <w:szCs w:val="24"/>
          <w:lang w:eastAsia="zh-CN"/>
        </w:rPr>
      </w:pPr>
      <w:r>
        <w:rPr>
          <w:rFonts w:hint="eastAsia" w:ascii="仿宋_GB2312" w:eastAsia="仿宋_GB2312"/>
          <w:sz w:val="24"/>
          <w:szCs w:val="24"/>
        </w:rPr>
        <w:t>过敏史：</w:t>
      </w:r>
      <w:r>
        <w:rPr>
          <w:rFonts w:hint="eastAsia" w:ascii="仿宋_GB2312" w:eastAsia="仿宋_GB2312"/>
          <w:sz w:val="24"/>
          <w:szCs w:val="24"/>
          <w:lang w:eastAsia="zh-CN"/>
        </w:rPr>
        <w:t>无。</w:t>
      </w:r>
    </w:p>
    <w:p w14:paraId="68A41689">
      <w:pPr>
        <w:spacing w:line="360" w:lineRule="auto"/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体格检查：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>查体:咽腔分级3级。BP:160/105 mm Hg颅神经及四肢（-）。</w:t>
      </w:r>
    </w:p>
    <w:p w14:paraId="4B7285ED">
      <w:pPr>
        <w:spacing w:line="360" w:lineRule="auto"/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辅助检查：</w:t>
      </w:r>
      <w:r>
        <w:rPr>
          <w:rFonts w:hint="eastAsia" w:ascii="仿宋_GB2312" w:eastAsia="仿宋_GB2312"/>
          <w:sz w:val="24"/>
          <w:szCs w:val="24"/>
          <w:lang w:eastAsia="zh-CN"/>
        </w:rPr>
        <w:t>颅脑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>MRI及MRA：脑内多发梗死、缺血灶，脑动脉硬化表现，未见大血管狭窄。脑卒中筛查：双侧颈动脉内膜增厚伴斑块形成（2023-04-19于泰安市中医医院）</w:t>
      </w:r>
    </w:p>
    <w:p w14:paraId="48182E7C">
      <w:pPr>
        <w:spacing w:line="360" w:lineRule="auto"/>
        <w:rPr>
          <w:rFonts w:hint="eastAsia" w:ascii="仿宋_GB2312" w:eastAsia="仿宋_GB2312"/>
          <w:sz w:val="24"/>
          <w:szCs w:val="24"/>
          <w:lang w:eastAsia="zh-CN"/>
        </w:rPr>
      </w:pPr>
      <w:r>
        <w:rPr>
          <w:rFonts w:hint="eastAsia" w:ascii="仿宋_GB2312" w:eastAsia="仿宋_GB2312"/>
          <w:sz w:val="24"/>
          <w:szCs w:val="24"/>
        </w:rPr>
        <w:t>中医诊断：</w:t>
      </w:r>
      <w:r>
        <w:rPr>
          <w:rFonts w:hint="eastAsia" w:ascii="仿宋_GB2312" w:eastAsia="仿宋_GB2312"/>
          <w:sz w:val="24"/>
          <w:szCs w:val="24"/>
          <w:lang w:eastAsia="zh-CN"/>
        </w:rPr>
        <w:t>眩晕病</w:t>
      </w:r>
    </w:p>
    <w:p w14:paraId="00EBAE60">
      <w:pPr>
        <w:spacing w:line="360" w:lineRule="auto"/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证候诊断：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>湿热瘀结</w:t>
      </w:r>
    </w:p>
    <w:p w14:paraId="2B7BEBF1">
      <w:pPr>
        <w:spacing w:line="360" w:lineRule="auto"/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西医诊断：</w:t>
      </w:r>
      <w:r>
        <w:rPr>
          <w:rFonts w:hint="eastAsia" w:ascii="仿宋_GB2312" w:eastAsia="仿宋_GB2312"/>
          <w:sz w:val="24"/>
          <w:szCs w:val="24"/>
          <w:lang w:eastAsia="zh-CN"/>
        </w:rPr>
        <w:t>后循环缺血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 xml:space="preserve"> 阻塞性睡眠呼吸暂停综合征(OSAS)</w:t>
      </w:r>
    </w:p>
    <w:p w14:paraId="33D024FC">
      <w:pPr>
        <w:spacing w:line="360" w:lineRule="auto"/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治    法：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>清利湿热，平肝化瘀</w:t>
      </w:r>
    </w:p>
    <w:p w14:paraId="5F49D9A1">
      <w:pPr>
        <w:spacing w:line="360" w:lineRule="auto"/>
        <w:rPr>
          <w:rFonts w:hint="default" w:ascii="仿宋_GB2312" w:eastAsia="仿宋_GB2312"/>
          <w:sz w:val="24"/>
          <w:szCs w:val="24"/>
          <w:lang w:val="en-US" w:eastAsia="zh-CN"/>
        </w:rPr>
      </w:pPr>
      <w:r>
        <w:rPr>
          <w:rFonts w:hint="eastAsia" w:ascii="仿宋_GB2312" w:eastAsia="仿宋_GB2312"/>
          <w:sz w:val="24"/>
          <w:szCs w:val="24"/>
        </w:rPr>
        <w:t>处    方：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>川贝母9 g，郁金18 g，明天麻20 g，夏枯草20 g，地龙12 g，酒大黄6 g，土茯苓 30 g，牛膝18 g，益母草30 g，珍珠母30，泽泻30 g，决明子30 g。 7剂，水煎服，日一剂。</w:t>
      </w:r>
    </w:p>
    <w:p w14:paraId="66F0E0D3">
      <w:pPr>
        <w:spacing w:line="360" w:lineRule="auto"/>
        <w:rPr>
          <w:rFonts w:ascii="仿宋_GB2312" w:eastAsia="仿宋_GB2312"/>
          <w:sz w:val="24"/>
          <w:szCs w:val="24"/>
        </w:rPr>
      </w:pPr>
    </w:p>
    <w:p w14:paraId="55B4BB7A">
      <w:pPr>
        <w:spacing w:line="360" w:lineRule="auto"/>
        <w:rPr>
          <w:rFonts w:hint="eastAsia" w:ascii="仿宋_GB2312" w:eastAsia="仿宋_GB2312"/>
          <w:sz w:val="24"/>
          <w:szCs w:val="24"/>
          <w:lang w:val="en-US" w:eastAsia="zh-CN"/>
        </w:rPr>
      </w:pPr>
      <w:r>
        <w:rPr>
          <w:rFonts w:hint="eastAsia" w:ascii="仿宋_GB2312" w:eastAsia="仿宋_GB2312"/>
          <w:sz w:val="24"/>
          <w:szCs w:val="24"/>
        </w:rPr>
        <w:t>复诊：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>2024.04.28</w:t>
      </w:r>
      <w:r>
        <w:rPr>
          <w:rFonts w:hint="eastAsia" w:ascii="仿宋_GB2312" w:eastAsia="仿宋_GB2312"/>
          <w:sz w:val="24"/>
          <w:szCs w:val="24"/>
          <w:lang w:eastAsia="zh-CN"/>
        </w:rPr>
        <w:t>服用上方后，患者诸症减轻，头脑较前清爽，但仍有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>乏力，上午困倦，肩颈僵硬，舌红尖甚，苔黄腻;脉弦滑。加用葛根30g柔筋缓急。7剂，水煎服，日一剂。</w:t>
      </w:r>
    </w:p>
    <w:p w14:paraId="2362441F">
      <w:pPr>
        <w:spacing w:line="360" w:lineRule="auto"/>
        <w:rPr>
          <w:rFonts w:hint="eastAsia" w:ascii="仿宋_GB2312" w:eastAsia="仿宋_GB2312"/>
          <w:sz w:val="24"/>
          <w:szCs w:val="24"/>
          <w:lang w:eastAsia="zh-CN"/>
        </w:rPr>
      </w:pPr>
      <w:r>
        <w:rPr>
          <w:rFonts w:hint="eastAsia" w:ascii="仿宋_GB2312" w:eastAsia="仿宋_GB2312"/>
          <w:sz w:val="24"/>
          <w:szCs w:val="24"/>
          <w:lang w:val="en-US" w:eastAsia="zh-CN"/>
        </w:rPr>
        <w:t>2024.05.05 服用上方后，</w:t>
      </w:r>
      <w:r>
        <w:rPr>
          <w:rFonts w:hint="eastAsia" w:ascii="仿宋_GB2312" w:eastAsia="仿宋_GB2312"/>
          <w:sz w:val="24"/>
          <w:szCs w:val="24"/>
          <w:lang w:eastAsia="zh-CN"/>
        </w:rPr>
        <w:t>头脑较前清爽，体力增加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>，记忆力提高，舌红尖甚，苔黄腻;脉弦滑。上方继续服药1月余，诸症明显好转。</w:t>
      </w:r>
    </w:p>
    <w:p w14:paraId="75FD74F6">
      <w:pPr>
        <w:spacing w:line="360" w:lineRule="auto"/>
        <w:rPr>
          <w:rFonts w:ascii="仿宋_GB2312" w:eastAsia="仿宋_GB2312"/>
          <w:sz w:val="24"/>
          <w:szCs w:val="24"/>
        </w:rPr>
      </w:pPr>
    </w:p>
    <w:p w14:paraId="0AB10FE3">
      <w:pPr>
        <w:spacing w:line="360" w:lineRule="auto"/>
        <w:rPr>
          <w:rFonts w:hint="eastAsia"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心得体会：</w:t>
      </w:r>
    </w:p>
    <w:p w14:paraId="3E238DAB">
      <w:pPr>
        <w:spacing w:line="360" w:lineRule="auto"/>
        <w:ind w:firstLine="480" w:firstLineChars="200"/>
        <w:rPr>
          <w:rFonts w:hint="eastAsia"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  <w:lang w:val="en-US" w:eastAsia="zh-CN"/>
        </w:rPr>
        <w:t>本病患者中年男性，素体阳亢，加之气血运行不畅，内生痰湿，蕴久化热，湿热上干清阳，则头晕头昏沉、记忆力下降。清阳不展，气机郁阻，湿遏卫阳，则见乏力困倦、肩颈僵硬。湿热之邪入阳明，可见头面烘热、时有燥热。湿郁于中，气机不宣，津液不能上承，则见两目干涩。湿热阻于下焦，小肠不能分清泌浊，故见小便黄、灼热感。大便干乃由湿热蕴结肠道已久，湿热已化燥。方中川贝、郁金行气开郁化痰，“气行则水行，水行则湿化”。清·石寿棠《医原·湿气论》曰:“气化则湿自化，即有兼邪，亦与之俱化。”天麻、珍珠母平抑肝阳，夏枯草、决明子清肝明目，润肠通便，同时具有降血压作用，上述四药共同清泻肝火，截断湿热之源，土茯苓、牛膝、泽泻清热利湿，使热从小便行，“治湿不利小便，非其治也。”酒大黄通腑清热，使热从大便而出，《素问·阴阳应象大论》:“其下者，引而竭之。”湿热易阻塞气机，气机不畅，血瘀凝滞，地龙、益母草活血破瘀，使瘀去热消，全方共奏清热利湿，平肝化瘀之功，给湿邪以出路，服药1月余，上症明显好转。</w:t>
      </w:r>
      <w:bookmarkStart w:id="0" w:name="_GoBack"/>
      <w:bookmarkEnd w:id="0"/>
    </w:p>
    <w:p w14:paraId="4FD2D493">
      <w:pPr>
        <w:spacing w:line="360" w:lineRule="auto"/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 xml:space="preserve">                                                   签 名：</w:t>
      </w:r>
    </w:p>
    <w:p w14:paraId="4244FACF">
      <w:pPr>
        <w:spacing w:line="360" w:lineRule="auto"/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 xml:space="preserve">                                                      年   月   日</w:t>
      </w:r>
    </w:p>
    <w:p w14:paraId="638719E7">
      <w:pPr>
        <w:spacing w:line="360" w:lineRule="auto"/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指导老师评语：</w:t>
      </w:r>
    </w:p>
    <w:p w14:paraId="2267D937">
      <w:pPr>
        <w:spacing w:line="360" w:lineRule="auto"/>
        <w:rPr>
          <w:rFonts w:hint="eastAsia" w:ascii="仿宋_GB2312" w:eastAsia="仿宋_GB2312"/>
          <w:sz w:val="24"/>
          <w:szCs w:val="24"/>
        </w:rPr>
      </w:pPr>
    </w:p>
    <w:p w14:paraId="711BDC84">
      <w:pPr>
        <w:spacing w:line="360" w:lineRule="auto"/>
        <w:rPr>
          <w:rFonts w:hint="eastAsia" w:ascii="仿宋_GB2312" w:eastAsia="仿宋_GB2312"/>
          <w:sz w:val="24"/>
          <w:szCs w:val="24"/>
        </w:rPr>
      </w:pPr>
    </w:p>
    <w:p w14:paraId="341027D9">
      <w:pPr>
        <w:spacing w:line="360" w:lineRule="auto"/>
        <w:rPr>
          <w:rFonts w:hint="eastAsia" w:ascii="仿宋_GB2312" w:eastAsia="仿宋_GB2312"/>
          <w:sz w:val="24"/>
          <w:szCs w:val="24"/>
        </w:rPr>
      </w:pPr>
    </w:p>
    <w:p w14:paraId="144F38E5">
      <w:pPr>
        <w:spacing w:line="360" w:lineRule="auto"/>
        <w:rPr>
          <w:rFonts w:hint="eastAsia" w:ascii="仿宋_GB2312" w:eastAsia="仿宋_GB2312"/>
          <w:sz w:val="24"/>
          <w:szCs w:val="24"/>
        </w:rPr>
      </w:pPr>
    </w:p>
    <w:p w14:paraId="246AEC39">
      <w:pPr>
        <w:spacing w:line="360" w:lineRule="auto"/>
        <w:rPr>
          <w:rFonts w:hint="eastAsia" w:ascii="仿宋_GB2312" w:eastAsia="仿宋_GB2312"/>
          <w:sz w:val="24"/>
          <w:szCs w:val="24"/>
        </w:rPr>
      </w:pPr>
    </w:p>
    <w:p w14:paraId="6D513C78">
      <w:pPr>
        <w:spacing w:line="360" w:lineRule="auto"/>
        <w:rPr>
          <w:rFonts w:hint="eastAsia" w:ascii="仿宋_GB2312" w:eastAsia="仿宋_GB2312"/>
          <w:sz w:val="24"/>
          <w:szCs w:val="24"/>
        </w:rPr>
      </w:pPr>
    </w:p>
    <w:p w14:paraId="02CCA16E">
      <w:pPr>
        <w:spacing w:line="360" w:lineRule="auto"/>
        <w:rPr>
          <w:rFonts w:hint="eastAsia" w:ascii="仿宋_GB2312" w:eastAsia="仿宋_GB2312"/>
          <w:sz w:val="24"/>
          <w:szCs w:val="24"/>
        </w:rPr>
      </w:pPr>
    </w:p>
    <w:p w14:paraId="0E060BF2">
      <w:pPr>
        <w:spacing w:line="360" w:lineRule="auto"/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 xml:space="preserve">                                                   签 名：</w:t>
      </w:r>
    </w:p>
    <w:p w14:paraId="7904651B">
      <w:pPr>
        <w:spacing w:line="360" w:lineRule="auto"/>
        <w:ind w:firstLine="6480" w:firstLineChars="2700"/>
        <w:rPr>
          <w:rFonts w:ascii="宋体" w:hAnsi="宋体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年   月   日</w:t>
      </w:r>
    </w:p>
    <w:p w14:paraId="14870763">
      <w:pPr>
        <w:spacing w:line="360" w:lineRule="auto"/>
        <w:rPr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ViY2JkMjU3NGYzZTEwMzZmMGFkZWViYmNkYWU3NDIifQ=="/>
  </w:docVars>
  <w:rsids>
    <w:rsidRoot w:val="00000000"/>
    <w:rsid w:val="06C80024"/>
    <w:rsid w:val="09FC1CF1"/>
    <w:rsid w:val="12C3328B"/>
    <w:rsid w:val="5EC64734"/>
    <w:rsid w:val="7F023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1028</Words>
  <Characters>1102</Characters>
  <Lines>0</Lines>
  <Paragraphs>0</Paragraphs>
  <TotalTime>2</TotalTime>
  <ScaleCrop>false</ScaleCrop>
  <LinksUpToDate>false</LinksUpToDate>
  <CharactersWithSpaces>1341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2024-02-22T13:47:00Z</dcterms:created>
  <dc:creator>fengming</dc:creator>
  <cp:lastModifiedBy>仗剑高歌</cp:lastModifiedBy>
  <dcterms:modified xsi:type="dcterms:W3CDTF">2025-03-11T12:14:46Z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5B08639C02B84D4EAC92D91B32BEF32F_12</vt:lpwstr>
  </property>
  <property fmtid="{D5CDD505-2E9C-101B-9397-08002B2CF9AE}" pid="4" name="KSOTemplateDocerSaveRecord">
    <vt:lpwstr>eyJoZGlkIjoiODViY2JkMjU3NGYzZTEwMzZmMGFkZWViYmNkYWU3NDIiLCJ1c2VySWQiOiIxOTk4NTg2OSJ9</vt:lpwstr>
  </property>
</Properties>
</file>