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3E706"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 w14:paraId="6A63E791"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</w:t>
      </w:r>
      <w:r>
        <w:rPr>
          <w:rFonts w:hint="eastAsia" w:ascii="宋体" w:hAnsi="宋体"/>
          <w:sz w:val="44"/>
          <w:szCs w:val="44"/>
          <w:lang w:eastAsia="zh-CN"/>
        </w:rPr>
        <w:t>☑</w:t>
      </w:r>
      <w:r>
        <w:rPr>
          <w:rFonts w:hint="eastAsia" w:ascii="宋体" w:hAnsi="宋体"/>
          <w:sz w:val="44"/>
          <w:szCs w:val="44"/>
        </w:rPr>
        <w:t xml:space="preserve">  独立□）</w:t>
      </w:r>
    </w:p>
    <w:p w14:paraId="5541A737">
      <w:pPr>
        <w:rPr>
          <w:rFonts w:ascii="仿宋_GB2312" w:eastAsia="仿宋_GB2312"/>
        </w:rPr>
      </w:pPr>
    </w:p>
    <w:p w14:paraId="61D384F7">
      <w:pPr>
        <w:spacing w:line="360" w:lineRule="auto"/>
        <w:rPr>
          <w:rFonts w:hint="default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>患者姓名：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张X</w:t>
      </w:r>
      <w:r>
        <w:rPr>
          <w:rFonts w:hint="eastAsia" w:ascii="仿宋_GB2312" w:eastAsia="仿宋_GB2312"/>
          <w:sz w:val="24"/>
          <w:szCs w:val="24"/>
        </w:rPr>
        <w:t xml:space="preserve">          性别：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男</w:t>
      </w:r>
      <w:r>
        <w:rPr>
          <w:rFonts w:hint="eastAsia" w:ascii="仿宋_GB2312" w:eastAsia="仿宋_GB2312"/>
          <w:sz w:val="24"/>
          <w:szCs w:val="24"/>
        </w:rPr>
        <w:t xml:space="preserve">                出生日期：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1958.12</w:t>
      </w:r>
    </w:p>
    <w:p w14:paraId="26150411">
      <w:pPr>
        <w:spacing w:line="360" w:lineRule="auto"/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>就诊日期：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2024</w:t>
      </w:r>
      <w:bookmarkStart w:id="0" w:name="_GoBack"/>
      <w:bookmarkEnd w:id="0"/>
      <w:r>
        <w:rPr>
          <w:rFonts w:hint="eastAsia" w:ascii="仿宋_GB2312" w:eastAsia="仿宋_GB2312"/>
          <w:sz w:val="24"/>
          <w:szCs w:val="24"/>
          <w:lang w:val="en-US" w:eastAsia="zh-CN"/>
        </w:rPr>
        <w:t>年10月08日</w:t>
      </w:r>
      <w:r>
        <w:rPr>
          <w:rFonts w:hint="eastAsia" w:ascii="仿宋_GB2312" w:eastAsia="仿宋_GB2312"/>
          <w:sz w:val="24"/>
          <w:szCs w:val="24"/>
        </w:rPr>
        <w:t xml:space="preserve">     初诊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√</w:t>
      </w:r>
      <w:r>
        <w:rPr>
          <w:rFonts w:hint="eastAsia" w:ascii="仿宋_GB2312" w:eastAsia="仿宋_GB2312"/>
          <w:sz w:val="24"/>
          <w:szCs w:val="24"/>
        </w:rPr>
        <w:t>、复诊       发病节气：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寒露</w:t>
      </w:r>
    </w:p>
    <w:p w14:paraId="68CAE994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3E488E74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主  诉：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阵发性头胀痛 1 年</w:t>
      </w:r>
    </w:p>
    <w:p w14:paraId="4D05B1A9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现病史：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阵发性头胀痛 ，以前额及头顶部疼痛为甚，严重时掣及太阳穴，常于劳累、夜间睡眠不好时发作，心烦易怒，记忆力下降，舌质稍红，苔白，脉弦滑。</w:t>
      </w:r>
    </w:p>
    <w:p w14:paraId="5AD15855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既往史：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体健</w:t>
      </w:r>
    </w:p>
    <w:p w14:paraId="02C56B5E">
      <w:pPr>
        <w:spacing w:line="360" w:lineRule="auto"/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>过敏史：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无</w:t>
      </w:r>
    </w:p>
    <w:p w14:paraId="57BBDA4E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体格检查：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神志清，精神可，心肺听诊无异常，神经科查体正常，纳眠可，二便调。</w:t>
      </w:r>
    </w:p>
    <w:p w14:paraId="6C133B72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辅助检查：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心电图及实验室检查阴性</w:t>
      </w:r>
    </w:p>
    <w:p w14:paraId="7B6C62E7">
      <w:pPr>
        <w:spacing w:line="360" w:lineRule="auto"/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>中医诊断：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头痛</w:t>
      </w:r>
    </w:p>
    <w:p w14:paraId="79E723F5">
      <w:pPr>
        <w:spacing w:line="360" w:lineRule="auto"/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>证候诊断：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血虚肝亢，痰火扰神</w:t>
      </w:r>
    </w:p>
    <w:p w14:paraId="711B374C">
      <w:pPr>
        <w:spacing w:line="360" w:lineRule="auto"/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>西医诊断：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紧张型头痛</w:t>
      </w:r>
    </w:p>
    <w:p w14:paraId="1064EC7A">
      <w:pPr>
        <w:spacing w:line="360" w:lineRule="auto"/>
        <w:rPr>
          <w:rFonts w:hint="eastAsia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</w:rPr>
        <w:t>治    法：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养血平肝，化痰清火，潜阳安神</w:t>
      </w:r>
    </w:p>
    <w:p w14:paraId="748807AC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处    方：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头痛 2 号方（旋覆花 15 g，赭石 15 g， 生石膏 30 g，卷柏30 g，当归10 g，川芎10 g，白芍30 g， 生地黄 10 g，木瓜 30 g，醋香附 10 g，葛根 30 g，炙甘草 5 g）加石决明 20 g，菊花 10 g，夜交藤 60 g，7 剂，水煎服。</w:t>
      </w:r>
    </w:p>
    <w:p w14:paraId="6ACA76DF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3F623105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复诊：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二诊，患者头痛减轻，心烦易怒症状减轻，能入睡，记忆力增强，守方连服 20 剂而痊愈。</w:t>
      </w:r>
    </w:p>
    <w:p w14:paraId="59E53D3F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4609527E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心得体会：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患者为肝阳上亢，挟痰上扰心神之证，故有头痛、心烦易怒，夜卧不宁、舌红脉弦滑等表现，给予头痛2 号方加入石决明、菊花平肝潜阳，夜交藤养心安神通血脉。患者服药后效果明显，故二诊时效不更方，连服20 剂后痊愈。</w:t>
      </w:r>
    </w:p>
    <w:p w14:paraId="55588D5D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34CFAED9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                     签 名：</w:t>
      </w:r>
    </w:p>
    <w:p w14:paraId="6BF1563A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                             年   月   日</w:t>
      </w:r>
    </w:p>
    <w:p w14:paraId="3E24A522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6A4CDBF1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5A42E9E0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指导老师评语：</w:t>
      </w:r>
    </w:p>
    <w:p w14:paraId="3312A474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3A2C8049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2A224B6B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336C8B52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40A179A9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648B007D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5E17BF46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327FCAC5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48EB101D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429331BA">
      <w:pPr>
        <w:spacing w:line="360" w:lineRule="auto"/>
        <w:rPr>
          <w:rFonts w:hint="eastAsia" w:ascii="仿宋_GB2312" w:eastAsia="仿宋_GB2312"/>
          <w:sz w:val="24"/>
          <w:szCs w:val="24"/>
        </w:rPr>
      </w:pPr>
    </w:p>
    <w:p w14:paraId="08EB0710">
      <w:pPr>
        <w:spacing w:line="360" w:lineRule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                          签 名：</w:t>
      </w:r>
    </w:p>
    <w:p w14:paraId="1E0B04AD">
      <w:pPr>
        <w:spacing w:line="360" w:lineRule="auto"/>
        <w:jc w:val="righ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492417CD"/>
    <w:rsid w:val="00EE6F09"/>
    <w:rsid w:val="1BFE541B"/>
    <w:rsid w:val="3A292153"/>
    <w:rsid w:val="47AE5B66"/>
    <w:rsid w:val="492417CD"/>
    <w:rsid w:val="4B080AE2"/>
    <w:rsid w:val="4C496B3E"/>
    <w:rsid w:val="5E711170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523</Words>
  <Characters>550</Characters>
  <Lines>0</Lines>
  <Paragraphs>0</Paragraphs>
  <TotalTime>4</TotalTime>
  <ScaleCrop>false</ScaleCrop>
  <LinksUpToDate>false</LinksUpToDate>
  <CharactersWithSpaces>803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仗剑高歌</cp:lastModifiedBy>
  <dcterms:modified xsi:type="dcterms:W3CDTF">2025-03-11T12:20:22Z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A47D866AE3024318832AC3ED8C4D780A_11</vt:lpwstr>
  </property>
  <property fmtid="{D5CDD505-2E9C-101B-9397-08002B2CF9AE}" pid="4" name="KSOTemplateDocerSaveRecord">
    <vt:lpwstr>eyJoZGlkIjoiODViY2JkMjU3NGYzZTEwMzZmMGFkZWViYmNkYWU3NDIiLCJ1c2VySWQiOiIxOTk4NTg2OSJ9</vt:lpwstr>
  </property>
</Properties>
</file>