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44"/>
          <w:szCs w:val="44"/>
        </w:rPr>
      </w:pPr>
      <w:r>
        <w:rPr>
          <w:rFonts w:hint="eastAsia" w:ascii="黑体" w:hAnsi="黑体" w:eastAsia="黑体"/>
          <w:b/>
          <w:sz w:val="44"/>
          <w:szCs w:val="44"/>
        </w:rPr>
        <w:t>泰安市中医医院师承教育工作</w:t>
      </w:r>
    </w:p>
    <w:p>
      <w:pPr>
        <w:jc w:val="center"/>
        <w:rPr>
          <w:rFonts w:hint="eastAsia" w:ascii="宋体" w:hAnsi="宋体"/>
          <w:b/>
          <w:sz w:val="44"/>
          <w:szCs w:val="44"/>
        </w:rPr>
      </w:pPr>
      <w:r>
        <w:rPr>
          <w:rFonts w:hint="eastAsia" w:ascii="黑体" w:hAnsi="黑体" w:eastAsia="黑体"/>
          <w:b/>
          <w:sz w:val="44"/>
          <w:szCs w:val="44"/>
        </w:rPr>
        <w:t>跟 师 每 月 心 得</w:t>
      </w:r>
    </w:p>
    <w:p>
      <w:pPr>
        <w:ind w:firstLine="1440" w:firstLineChars="600"/>
        <w:rPr>
          <w:rFonts w:hint="eastAsia" w:ascii="仿宋_GB2312" w:eastAsia="仿宋_GB2312"/>
          <w:sz w:val="24"/>
        </w:rPr>
      </w:pPr>
    </w:p>
    <w:p>
      <w:pPr>
        <w:ind w:firstLine="1440" w:firstLineChars="600"/>
        <w:rPr>
          <w:rFonts w:ascii="仿宋_GB2312" w:eastAsia="仿宋_GB2312"/>
          <w:sz w:val="24"/>
        </w:rPr>
      </w:pPr>
      <w:r>
        <w:rPr>
          <w:rFonts w:hint="eastAsia" w:ascii="仿宋_GB2312" w:eastAsia="仿宋_GB2312"/>
          <w:sz w:val="24"/>
        </w:rPr>
        <w:t>起止时间：         年   月   日至          年     月    日</w:t>
      </w:r>
    </w:p>
    <w:tbl>
      <w:tblPr>
        <w:tblStyle w:val="2"/>
        <w:tblW w:w="53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29"/>
        <w:gridCol w:w="2131"/>
        <w:gridCol w:w="2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169" w:type="pct"/>
            <w:noWrap w:val="0"/>
            <w:vAlign w:val="center"/>
          </w:tcPr>
          <w:p>
            <w:pPr>
              <w:jc w:val="center"/>
              <w:rPr>
                <w:rFonts w:ascii="仿宋_GB2312" w:eastAsia="仿宋_GB2312"/>
                <w:sz w:val="30"/>
                <w:szCs w:val="30"/>
              </w:rPr>
            </w:pPr>
            <w:r>
              <w:rPr>
                <w:rFonts w:hint="eastAsia" w:ascii="仿宋_GB2312" w:eastAsia="仿宋_GB2312"/>
                <w:sz w:val="30"/>
                <w:szCs w:val="30"/>
              </w:rPr>
              <w:t>继承人姓名</w:t>
            </w:r>
          </w:p>
        </w:tc>
        <w:tc>
          <w:tcPr>
            <w:tcW w:w="1169" w:type="pct"/>
            <w:noWrap w:val="0"/>
            <w:vAlign w:val="top"/>
          </w:tcPr>
          <w:p>
            <w:pPr>
              <w:rPr>
                <w:rFonts w:ascii="仿宋_GB2312" w:eastAsia="仿宋_GB2312"/>
                <w:sz w:val="30"/>
                <w:szCs w:val="30"/>
              </w:rPr>
            </w:pPr>
          </w:p>
        </w:tc>
        <w:tc>
          <w:tcPr>
            <w:tcW w:w="1170" w:type="pct"/>
            <w:noWrap w:val="0"/>
            <w:vAlign w:val="center"/>
          </w:tcPr>
          <w:p>
            <w:pPr>
              <w:jc w:val="center"/>
              <w:rPr>
                <w:rFonts w:ascii="仿宋_GB2312" w:eastAsia="仿宋_GB2312"/>
                <w:sz w:val="30"/>
                <w:szCs w:val="30"/>
              </w:rPr>
            </w:pPr>
            <w:r>
              <w:rPr>
                <w:rFonts w:hint="eastAsia" w:ascii="仿宋_GB2312" w:eastAsia="仿宋_GB2312"/>
                <w:sz w:val="30"/>
                <w:szCs w:val="30"/>
              </w:rPr>
              <w:t>指导老师姓名</w:t>
            </w:r>
          </w:p>
        </w:tc>
        <w:tc>
          <w:tcPr>
            <w:tcW w:w="1492" w:type="pct"/>
            <w:noWrap w:val="0"/>
            <w:vAlign w:val="top"/>
          </w:tcPr>
          <w:p>
            <w:pPr>
              <w:rPr>
                <w:rFonts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noWrap w:val="0"/>
            <w:vAlign w:val="top"/>
          </w:tcPr>
          <w:p>
            <w:pPr>
              <w:rPr>
                <w:rFonts w:ascii="仿宋_GB2312" w:eastAsia="仿宋_GB2312"/>
                <w:sz w:val="30"/>
                <w:szCs w:val="30"/>
              </w:rPr>
            </w:pPr>
            <w:r>
              <w:rPr>
                <w:rFonts w:hint="eastAsia" w:ascii="仿宋_GB2312" w:eastAsia="仿宋_GB2312"/>
                <w:sz w:val="30"/>
                <w:szCs w:val="30"/>
              </w:rPr>
              <w:t>本月跟师临证（实践）主要病种（内容）：</w:t>
            </w:r>
          </w:p>
          <w:p>
            <w:pPr>
              <w:rPr>
                <w:rFonts w:hint="default" w:ascii="仿宋_GB2312" w:eastAsia="仿宋_GB2312"/>
                <w:sz w:val="30"/>
                <w:szCs w:val="30"/>
                <w:lang w:val="en-US" w:eastAsia="zh-CN"/>
              </w:rPr>
            </w:pPr>
            <w:r>
              <w:rPr>
                <w:rFonts w:hint="eastAsia" w:ascii="仿宋_GB2312" w:eastAsia="仿宋_GB2312"/>
                <w:sz w:val="30"/>
                <w:szCs w:val="30"/>
                <w:lang w:val="en-US" w:eastAsia="zh-CN"/>
              </w:rPr>
              <w:t>丛集性头痛治法及验案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000" w:type="pct"/>
            <w:gridSpan w:val="4"/>
            <w:noWrap w:val="0"/>
            <w:vAlign w:val="center"/>
          </w:tcPr>
          <w:p>
            <w:pPr>
              <w:rPr>
                <w:rFonts w:ascii="仿宋_GB2312" w:eastAsia="仿宋_GB2312"/>
                <w:sz w:val="30"/>
                <w:szCs w:val="30"/>
              </w:rPr>
            </w:pPr>
            <w:r>
              <w:rPr>
                <w:rFonts w:hint="eastAsia" w:ascii="仿宋_GB2312" w:eastAsia="仿宋_GB2312"/>
                <w:sz w:val="30"/>
                <w:szCs w:val="30"/>
              </w:rPr>
              <w:t>本月跟师心得体会</w:t>
            </w:r>
            <w:r>
              <w:rPr>
                <w:rFonts w:hint="eastAsia" w:ascii="仿宋_GB2312" w:eastAsia="仿宋_GB2312"/>
                <w:sz w:val="24"/>
              </w:rPr>
              <w:t>（要求理论联系实际，不少于1000字。可附页）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2" w:hRule="atLeast"/>
          <w:jc w:val="center"/>
        </w:trPr>
        <w:tc>
          <w:tcPr>
            <w:tcW w:w="5000" w:type="pct"/>
            <w:gridSpan w:val="4"/>
            <w:noWrap w:val="0"/>
            <w:vAlign w:val="top"/>
          </w:tcPr>
          <w:p>
            <w:r>
              <w:rPr>
                <w:lang w:val="en-US" w:eastAsia="zh-CN"/>
              </w:rPr>
              <w:t>祛风平肝，活血通</w:t>
            </w:r>
            <w:r>
              <w:rPr>
                <w:rFonts w:hint="default"/>
                <w:lang w:val="en-US" w:eastAsia="zh-CN"/>
              </w:rPr>
              <w:t>络是丛集性头</w:t>
            </w:r>
            <w:r>
              <w:rPr>
                <w:lang w:val="en-US" w:eastAsia="zh-CN"/>
              </w:rPr>
              <w:t xml:space="preserve">痛主要治法 </w:t>
            </w:r>
          </w:p>
          <w:p>
            <w:r>
              <w:rPr>
                <w:lang w:val="en-US" w:eastAsia="zh-CN"/>
              </w:rPr>
              <w:t>基于丛集性</w:t>
            </w:r>
            <w:r>
              <w:rPr>
                <w:rFonts w:hint="default"/>
                <w:lang w:val="en-US" w:eastAsia="zh-CN"/>
              </w:rPr>
              <w:t>头</w:t>
            </w:r>
            <w:r>
              <w:rPr>
                <w:lang w:val="en-US" w:eastAsia="zh-CN"/>
              </w:rPr>
              <w:t>痛</w:t>
            </w:r>
            <w:r>
              <w:rPr>
                <w:rFonts w:hint="default"/>
                <w:lang w:val="en-US" w:eastAsia="zh-CN"/>
              </w:rPr>
              <w:t>主要</w:t>
            </w:r>
            <w:r>
              <w:rPr>
                <w:lang w:val="en-US" w:eastAsia="zh-CN"/>
              </w:rPr>
              <w:t>致</w:t>
            </w:r>
            <w:r>
              <w:rPr>
                <w:rFonts w:hint="default"/>
                <w:lang w:val="en-US" w:eastAsia="zh-CN"/>
              </w:rPr>
              <w:t>病因素为风</w:t>
            </w:r>
            <w:r>
              <w:rPr>
                <w:lang w:val="en-US" w:eastAsia="zh-CN"/>
              </w:rPr>
              <w:t>邪</w:t>
            </w:r>
            <w:r>
              <w:rPr>
                <w:rFonts w:hint="default"/>
                <w:lang w:val="en-US" w:eastAsia="zh-CN"/>
              </w:rPr>
              <w:t>，与血</w:t>
            </w:r>
            <w:r>
              <w:rPr>
                <w:lang w:val="en-US" w:eastAsia="zh-CN"/>
              </w:rPr>
              <w:t>瘀密</w:t>
            </w:r>
            <w:r>
              <w:rPr>
                <w:rFonts w:hint="default"/>
                <w:lang w:val="en-US" w:eastAsia="zh-CN"/>
              </w:rPr>
              <w:t>切相关，病变</w:t>
            </w:r>
            <w:r>
              <w:rPr>
                <w:lang w:val="en-US" w:eastAsia="zh-CN"/>
              </w:rPr>
              <w:t>脏</w:t>
            </w:r>
            <w:r>
              <w:rPr>
                <w:rFonts w:hint="default"/>
                <w:lang w:val="en-US" w:eastAsia="zh-CN"/>
              </w:rPr>
              <w:t>腑</w:t>
            </w:r>
            <w:r>
              <w:rPr>
                <w:lang w:val="en-US" w:eastAsia="zh-CN"/>
              </w:rPr>
              <w:t>责</w:t>
            </w:r>
            <w:r>
              <w:rPr>
                <w:rFonts w:hint="default"/>
                <w:lang w:val="en-US" w:eastAsia="zh-CN"/>
              </w:rPr>
              <w:t>之于肝的发病</w:t>
            </w:r>
            <w:r>
              <w:rPr>
                <w:lang w:val="en-US" w:eastAsia="zh-CN"/>
              </w:rPr>
              <w:t>特</w:t>
            </w:r>
            <w:r>
              <w:rPr>
                <w:rFonts w:hint="default"/>
                <w:lang w:val="en-US" w:eastAsia="zh-CN"/>
              </w:rPr>
              <w:t>点，遵</w:t>
            </w:r>
            <w:r>
              <w:rPr>
                <w:lang w:val="en-US" w:eastAsia="zh-CN"/>
              </w:rPr>
              <w:t>“</w:t>
            </w:r>
            <w:r>
              <w:rPr>
                <w:rFonts w:hint="default"/>
                <w:lang w:val="en-US" w:eastAsia="zh-CN"/>
              </w:rPr>
              <w:t>治病</w:t>
            </w:r>
            <w:r>
              <w:rPr>
                <w:lang w:val="en-US" w:eastAsia="zh-CN"/>
              </w:rPr>
              <w:t>必求</w:t>
            </w:r>
            <w:r>
              <w:rPr>
                <w:rFonts w:hint="default"/>
                <w:lang w:val="en-US" w:eastAsia="zh-CN"/>
              </w:rPr>
              <w:t>于本”的基本原则，张树泉教授指</w:t>
            </w:r>
            <w:r>
              <w:rPr>
                <w:lang w:val="en-US" w:eastAsia="zh-CN"/>
              </w:rPr>
              <w:t>出</w:t>
            </w:r>
            <w:r>
              <w:rPr>
                <w:rFonts w:hint="default"/>
                <w:lang w:val="en-US" w:eastAsia="zh-CN"/>
              </w:rPr>
              <w:t>本病治疗重在祛风平肝，活血通络。《医学六要·头痛》云: “凡头痛皆以风药治之者，总其大体而言之也。高</w:t>
            </w:r>
            <w:r>
              <w:rPr>
                <w:lang w:val="en-US" w:eastAsia="zh-CN"/>
              </w:rPr>
              <w:t>巅</w:t>
            </w:r>
            <w:r>
              <w:rPr>
                <w:rFonts w:hint="default"/>
                <w:lang w:val="en-US" w:eastAsia="zh-CN"/>
              </w:rPr>
              <w:t>之上，惟风可到。”张树泉教授师承古训，强调祛风是治疗本病的基本要素，</w:t>
            </w:r>
            <w:r>
              <w:rPr>
                <w:lang w:val="en-US" w:eastAsia="zh-CN"/>
              </w:rPr>
              <w:t>既</w:t>
            </w:r>
            <w:r>
              <w:rPr>
                <w:rFonts w:hint="default"/>
                <w:lang w:val="en-US" w:eastAsia="zh-CN"/>
              </w:rPr>
              <w:t>要祛除外感之风，又要祛除内生之风，不论外感、内伤皆应症应用，使药力直</w:t>
            </w:r>
            <w:r>
              <w:rPr>
                <w:lang w:val="en-US" w:eastAsia="zh-CN"/>
              </w:rPr>
              <w:t>达</w:t>
            </w:r>
            <w:r>
              <w:rPr>
                <w:rFonts w:hint="default"/>
                <w:lang w:val="en-US" w:eastAsia="zh-CN"/>
              </w:rPr>
              <w:t xml:space="preserve">病所。因“风气通于肝”，肝失疏泄，易生内风，且本病与肝关系密切，因此“平肝”是治疗的重要环节。丛集性头痛与血瘀密切相关，治以活血化瘀，通络止痛。 </w:t>
            </w:r>
          </w:p>
          <w:p/>
          <w:p>
            <w:r>
              <w:rPr>
                <w:rFonts w:hint="default"/>
                <w:lang w:val="en-US" w:eastAsia="zh-CN"/>
              </w:rPr>
              <w:t xml:space="preserve">自拟祛风消痛汤是治疗丛集性头痛的基础方通过对丛集性头痛主要致病因素、病变部位、病变 </w:t>
            </w:r>
          </w:p>
          <w:p>
            <w:r>
              <w:rPr>
                <w:rFonts w:hint="default"/>
                <w:lang w:val="en-US" w:eastAsia="zh-CN"/>
              </w:rPr>
              <w:t>脏腑及主要治法的分析，张树泉教授采用自拟祛风消痛汤进行治疗，多能取得较显著的临床疗效。自拟祛风消痛汤组成: 川芎 30 g，白芷 10 g，防风 10 g，白芍30 g，柴胡 15 g，香附10 g，酸枣仁10 g，全蝎10 g，蜈蚣2 条，黄芩 15 g，生石膏 30 g，细辛 5 g，白芥子 10 g，清半夏 10 g，沉香 5 g，炙甘草 6 g。方中重用川芎行气开郁，活血止痛，为血中之气药，诚如李杲云: “头痛须用川芎，如不愈，加各引经药。太阳羌活，阳明白芷，少阳柴胡，太阴苍术，厥阴吴茱萸，少阴细辛。”丛集性头痛部位主要在单侧眶周，病属阳明经主，以芳香通窍之白芷祛风止痛，通鼻窍。防风为祛风之要药，不论风寒、风热皆可选用。重用白芍既能柔肝缓急止痛，又能养血滋阴以熄内风，尚可活血行气祛风，配伍炙甘草以增强缓急止痛之功，配伍柴胡、香附，增强疏肝解郁，调畅气机之功。酸枣仁养血安神，以助止痛。全蝎、蜈蚣性善走窜，功专活血化瘀，通络止痛。白芥子利气化痰，清半夏燥湿化痰，二者相合，增强祛痰通络止痛之功。黄芩与生石膏的使用以苔黄为指征，以清泻阳明经之火热，《药性赋》云: “石膏治头痛”。细辛针对风寒</w:t>
            </w:r>
            <w:r>
              <w:rPr>
                <w:lang w:val="en-US" w:eastAsia="zh-CN"/>
              </w:rPr>
              <w:t>侵</w:t>
            </w:r>
            <w:r>
              <w:rPr>
                <w:rFonts w:hint="default"/>
                <w:lang w:val="en-US" w:eastAsia="zh-CN"/>
              </w:rPr>
              <w:t xml:space="preserve">袭，多随症配伍，温阳散寒而治头痛。沉香辛香走窜，能畅达血脉，通关开窍。全方配伍，升降并用，寒温并 </w:t>
            </w:r>
          </w:p>
          <w:p>
            <w:r>
              <w:rPr>
                <w:rFonts w:hint="default"/>
                <w:lang w:val="en-US" w:eastAsia="zh-CN"/>
              </w:rPr>
              <w:t xml:space="preserve">施，共奏祛风平肝、活血通络之功，风去肝平，血脉通达则头痛自止。 </w:t>
            </w:r>
          </w:p>
          <w:p>
            <w:pPr>
              <w:rPr>
                <w:rFonts w:hint="default"/>
                <w:lang w:val="en-US" w:eastAsia="zh-CN"/>
              </w:rPr>
            </w:pPr>
            <w:r>
              <w:rPr>
                <w:rFonts w:hint="default"/>
                <w:lang w:val="en-US" w:eastAsia="zh-CN"/>
              </w:rPr>
              <w:t xml:space="preserve">丛集性头痛致病因素众多，病情变化多端，在祛风消痛汤的基础上随症加减。侧重于外感风寒者，去黄芩、生石膏，加桂枝 9 g，生姜 6 g; 侧重于外感风热者，去细辛，减白芷用量至 3 g，加薄荷 6 g; 侧重于肝阳化风者，佐以平肝熄风之品，去细辛，减白芷用量至 3 g，加天麻 10 g，石决明 30 g; 侧重于阴虚风动者，佐以养阴熄风之品，加生地黄 15 g，麦冬 12 g。兼失眠多梦者，佐以重镇安神之品，加珍珠母 30 g，煅磁石 30 g; 兼脾虚食少者，佐以健脾消食之品，加茯苓 15 g，鸡内金10 g; 兼心烦躁扰者，佐以清心除烦之品，加栀子 10 g，淡豆豉 10 g; 兼痰浊壅盛者，佐以化痰开窍之品，加石菖蒲 15 g，郁金 10 g。 </w:t>
            </w:r>
          </w:p>
          <w:p>
            <w:r>
              <w:rPr>
                <w:rFonts w:hint="default"/>
                <w:lang w:val="en-US" w:eastAsia="zh-CN"/>
              </w:rPr>
              <w:t xml:space="preserve">丛集性头痛验案举隅 </w:t>
            </w:r>
          </w:p>
          <w:p>
            <w:pPr>
              <w:rPr>
                <w:rFonts w:hint="default"/>
                <w:lang w:val="en-US" w:eastAsia="zh-CN"/>
              </w:rPr>
            </w:pPr>
            <w:r>
              <w:rPr>
                <w:rFonts w:hint="default"/>
                <w:lang w:val="en-US" w:eastAsia="zh-CN"/>
              </w:rPr>
              <w:t xml:space="preserve">张某，男，34 岁，2017 年 11 月 14 日主因“头痛 3 年余，加重 10 d”于门诊就诊。患者既往体健，平素急躁易怒3 年前外感风寒后遗留头痛，以右侧颞部、额部、眼部剧烈疼痛为主，呈阵发性，伴有乏力汗出，球结膜充血，流清涕，每天发作 2 ～ 4 次，每次持续 15 ～60 min，夜间发作时严重影响睡眠。否认过敏史、家族遗传病史。刻下: 神志清楚，精神状态良好，查体合作，对答切题，舌质淡红，苔薄白，舌尖有瘀点，舌下络脉紫暗迂曲，脉弦。体温 36. 5℃，血压 126 /84 mmHg，呼吸20 次/min，脉搏 87 次/min。神经系统查体未发现阳性体征。常规理化检查及脑部 CT 检查未见异常。张树泉教授根据既往外感风寒后出现头痛的病史，结合舌脉，四诊合参。西医诊断: 丛集性头痛。中医诊断:偏头风，风邪内伏，肝阳上亢，脑络瘀阻。治法: 疏风平肝，活血通络。处方: 祛风消痛汤加减( 川芎 30 g，桂枝 9 g，白芷 10 g，防风 10 g，荆芥 10 g，白芍 30 g，柴胡15 g，香附 10 g，酸枣仁 10 g，全蝎 10 g，蜈蚣 2 条，细辛5 g，白芥子 10 g，沉香 5 g，生姜 6 g，炙甘草 6 g) 7 剂，日 1 剂，水煎至 200 ml，早晚分服。二诊: 患者自诉服3 剂药后头痛明显减轻，睡眠略浅，舌脉如前。药已奏效，守方应用，酸枣仁剂量加至 20 g，首乌藤 15 g。7剂。三诊: 患者自诉服用上方后头痛基本消失，睡眠恢复正常。上方减桂枝用量至 3 g，续服 14 剂，以巩固疗效。随访 6 个月，未见发作。 </w:t>
            </w:r>
          </w:p>
          <w:p>
            <w:r>
              <w:rPr>
                <w:lang w:val="en-US" w:eastAsia="zh-CN"/>
              </w:rPr>
              <w:t xml:space="preserve">按: </w:t>
            </w:r>
            <w:r>
              <w:rPr>
                <w:rFonts w:hint="default"/>
                <w:lang w:val="en-US" w:eastAsia="zh-CN"/>
              </w:rPr>
              <w:t>患</w:t>
            </w:r>
            <w:r>
              <w:rPr>
                <w:lang w:val="en-US" w:eastAsia="zh-CN"/>
              </w:rPr>
              <w:t>者青年男性</w:t>
            </w:r>
            <w:r>
              <w:rPr>
                <w:rFonts w:hint="default"/>
                <w:lang w:val="en-US" w:eastAsia="zh-CN"/>
              </w:rPr>
              <w:t>，平素急躁，易致肝气郁结，失于疏泄，气郁化火，火热生风，</w:t>
            </w:r>
            <w:r>
              <w:rPr>
                <w:lang w:val="en-US" w:eastAsia="zh-CN"/>
              </w:rPr>
              <w:t>加</w:t>
            </w:r>
            <w:r>
              <w:rPr>
                <w:rFonts w:hint="default"/>
                <w:lang w:val="en-US" w:eastAsia="zh-CN"/>
              </w:rPr>
              <w:t>之 3 年前外感风寒，治疗失当，郁伏体内，内外风相合，循经上扰清窍而发为头痛。患者病程较久，考虑“久病多瘀”，结合舌尖瘀点、舌下络脉紫暗迂曲，乃为血瘀之证。患者头痛发作特点及理化检查符合西医丛集性头痛诊断标准。因此，西医诊断为丛集性头痛，中医诊断为偏头风，风邪内伏，肝阳上亢，脑络瘀阻证。治疗宜祛除伏邪之外风与肝郁化火之内风，兼以活血化瘀，通络止痛。处方采用自拟祛风消痛汤加减，取得了较满意的治疗效果</w:t>
            </w:r>
          </w:p>
          <w:p/>
          <w:p>
            <w:pPr>
              <w:rPr>
                <w:rFonts w:hint="eastAsia" w:ascii="仿宋_GB2312" w:eastAsia="仿宋_GB2312"/>
                <w:sz w:val="30"/>
                <w:szCs w:val="30"/>
              </w:rPr>
            </w:pPr>
            <w:bookmarkStart w:id="0" w:name="_GoBack"/>
            <w:bookmarkEnd w:id="0"/>
          </w:p>
          <w:p>
            <w:pPr>
              <w:rPr>
                <w:rFonts w:ascii="仿宋_GB2312" w:eastAsia="仿宋_GB2312"/>
                <w:sz w:val="30"/>
                <w:szCs w:val="30"/>
              </w:rPr>
            </w:pPr>
            <w:r>
              <w:rPr>
                <w:rFonts w:hint="eastAsia" w:ascii="仿宋_GB2312" w:eastAsia="仿宋_GB2312"/>
                <w:sz w:val="30"/>
                <w:szCs w:val="30"/>
              </w:rPr>
              <w:t xml:space="preserve">                               签名：</w:t>
            </w:r>
          </w:p>
          <w:p>
            <w:pPr>
              <w:rPr>
                <w:rFonts w:ascii="仿宋_GB2312" w:eastAsia="仿宋_GB2312"/>
                <w:sz w:val="30"/>
                <w:szCs w:val="30"/>
              </w:rPr>
            </w:pPr>
            <w:r>
              <w:rPr>
                <w:rFonts w:hint="eastAsia" w:ascii="仿宋_GB2312" w:eastAsia="仿宋_GB2312"/>
                <w:sz w:val="30"/>
                <w:szCs w:val="3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noWrap w:val="0"/>
            <w:vAlign w:val="top"/>
          </w:tcPr>
          <w:p>
            <w:pPr>
              <w:rPr>
                <w:rFonts w:ascii="仿宋_GB2312" w:eastAsia="仿宋_GB2312"/>
                <w:sz w:val="30"/>
                <w:szCs w:val="30"/>
              </w:rPr>
            </w:pPr>
            <w:r>
              <w:rPr>
                <w:rFonts w:hint="eastAsia" w:ascii="仿宋_GB2312" w:eastAsia="仿宋_GB2312"/>
                <w:sz w:val="30"/>
                <w:szCs w:val="30"/>
              </w:rPr>
              <w:t>指导老师批阅意见：</w:t>
            </w:r>
          </w:p>
          <w:p>
            <w:pPr>
              <w:rPr>
                <w:rFonts w:hint="eastAsia" w:ascii="仿宋_GB2312" w:eastAsia="仿宋_GB2312"/>
                <w:sz w:val="30"/>
                <w:szCs w:val="30"/>
              </w:rPr>
            </w:pPr>
          </w:p>
          <w:p>
            <w:pPr>
              <w:rPr>
                <w:rFonts w:hint="eastAsia" w:ascii="仿宋_GB2312" w:eastAsia="仿宋_GB2312"/>
                <w:sz w:val="30"/>
                <w:szCs w:val="30"/>
              </w:rPr>
            </w:pPr>
          </w:p>
          <w:p>
            <w:pPr>
              <w:rPr>
                <w:rFonts w:hint="eastAsia" w:ascii="仿宋_GB2312" w:eastAsia="仿宋_GB2312"/>
                <w:sz w:val="30"/>
                <w:szCs w:val="30"/>
              </w:rPr>
            </w:pPr>
          </w:p>
          <w:p>
            <w:pPr>
              <w:rPr>
                <w:rFonts w:hint="eastAsia" w:ascii="仿宋_GB2312" w:eastAsia="仿宋_GB2312"/>
                <w:sz w:val="30"/>
                <w:szCs w:val="30"/>
              </w:rPr>
            </w:pPr>
          </w:p>
          <w:p>
            <w:pPr>
              <w:rPr>
                <w:rFonts w:hint="eastAsia" w:ascii="仿宋_GB2312" w:eastAsia="仿宋_GB2312"/>
                <w:sz w:val="30"/>
                <w:szCs w:val="30"/>
              </w:rPr>
            </w:pPr>
          </w:p>
          <w:p>
            <w:pPr>
              <w:rPr>
                <w:rFonts w:ascii="仿宋_GB2312" w:eastAsia="仿宋_GB2312"/>
                <w:sz w:val="30"/>
                <w:szCs w:val="30"/>
              </w:rPr>
            </w:pPr>
          </w:p>
          <w:p>
            <w:pPr>
              <w:ind w:firstLine="4800" w:firstLineChars="1600"/>
              <w:rPr>
                <w:rFonts w:ascii="仿宋_GB2312" w:eastAsia="仿宋_GB2312"/>
                <w:sz w:val="30"/>
                <w:szCs w:val="30"/>
              </w:rPr>
            </w:pPr>
            <w:r>
              <w:rPr>
                <w:rFonts w:hint="eastAsia" w:ascii="仿宋_GB2312" w:eastAsia="仿宋_GB2312"/>
                <w:sz w:val="30"/>
                <w:szCs w:val="30"/>
              </w:rPr>
              <w:t>签名：</w:t>
            </w:r>
          </w:p>
          <w:p>
            <w:pPr>
              <w:ind w:firstLine="5850" w:firstLineChars="1950"/>
              <w:rPr>
                <w:rFonts w:ascii="仿宋_GB2312" w:eastAsia="仿宋_GB2312"/>
                <w:sz w:val="30"/>
                <w:szCs w:val="30"/>
              </w:rPr>
            </w:pPr>
            <w:r>
              <w:rPr>
                <w:rFonts w:hint="eastAsia" w:ascii="仿宋_GB2312" w:eastAsia="仿宋_GB2312"/>
                <w:sz w:val="30"/>
                <w:szCs w:val="30"/>
              </w:rPr>
              <w:t>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ZLWCO8-37">
    <w:altName w:val="Segoe Print"/>
    <w:panose1 w:val="00000000000000000000"/>
    <w:charset w:val="00"/>
    <w:family w:val="auto"/>
    <w:pitch w:val="default"/>
    <w:sig w:usb0="00000000" w:usb1="00000000" w:usb2="00000000" w:usb3="00000000" w:csb0="00000000" w:csb1="00000000"/>
  </w:font>
  <w:font w:name="HTJ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ZLWCOy-2">
    <w:altName w:val="Segoe Print"/>
    <w:panose1 w:val="00000000000000000000"/>
    <w:charset w:val="00"/>
    <w:family w:val="auto"/>
    <w:pitch w:val="default"/>
    <w:sig w:usb0="00000000" w:usb1="00000000" w:usb2="00000000" w:usb3="00000000" w:csb0="00000000" w:csb1="00000000"/>
  </w:font>
  <w:font w:name="ZLWCO1-18">
    <w:altName w:val="Segoe Print"/>
    <w:panose1 w:val="00000000000000000000"/>
    <w:charset w:val="00"/>
    <w:family w:val="auto"/>
    <w:pitch w:val="default"/>
    <w:sig w:usb0="00000000" w:usb1="00000000" w:usb2="00000000" w:usb3="00000000" w:csb0="00000000" w:csb1="00000000"/>
  </w:font>
  <w:font w:name="ZLWCOz-13">
    <w:altName w:val="Segoe Print"/>
    <w:panose1 w:val="00000000000000000000"/>
    <w:charset w:val="00"/>
    <w:family w:val="auto"/>
    <w:pitch w:val="default"/>
    <w:sig w:usb0="00000000" w:usb1="00000000" w:usb2="00000000" w:usb3="00000000" w:csb0="00000000" w:csb1="00000000"/>
  </w:font>
  <w:font w:name="ZLWCOy-9">
    <w:altName w:val="Segoe Print"/>
    <w:panose1 w:val="00000000000000000000"/>
    <w:charset w:val="00"/>
    <w:family w:val="auto"/>
    <w:pitch w:val="default"/>
    <w:sig w:usb0="00000000" w:usb1="00000000" w:usb2="00000000" w:usb3="00000000" w:csb0="00000000" w:csb1="00000000"/>
  </w:font>
  <w:font w:name="SSJ4">
    <w:altName w:val="Segoe Print"/>
    <w:panose1 w:val="00000000000000000000"/>
    <w:charset w:val="00"/>
    <w:family w:val="auto"/>
    <w:pitch w:val="default"/>
    <w:sig w:usb0="00000000" w:usb1="00000000" w:usb2="00000000" w:usb3="00000000" w:csb0="00000000" w:csb1="00000000"/>
  </w:font>
  <w:font w:name="ZLWCOy-8">
    <w:altName w:val="Segoe Print"/>
    <w:panose1 w:val="00000000000000000000"/>
    <w:charset w:val="00"/>
    <w:family w:val="auto"/>
    <w:pitch w:val="default"/>
    <w:sig w:usb0="00000000" w:usb1="00000000" w:usb2="00000000" w:usb3="00000000" w:csb0="00000000" w:csb1="00000000"/>
  </w:font>
  <w:font w:name="ZLWCO1-21">
    <w:altName w:val="Segoe Print"/>
    <w:panose1 w:val="00000000000000000000"/>
    <w:charset w:val="00"/>
    <w:family w:val="auto"/>
    <w:pitch w:val="default"/>
    <w:sig w:usb0="00000000" w:usb1="00000000" w:usb2="00000000" w:usb3="00000000" w:csb0="00000000" w:csb1="00000000"/>
  </w:font>
  <w:font w:name="ZLWCO3-29">
    <w:altName w:val="Segoe Print"/>
    <w:panose1 w:val="00000000000000000000"/>
    <w:charset w:val="00"/>
    <w:family w:val="auto"/>
    <w:pitch w:val="default"/>
    <w:sig w:usb0="00000000" w:usb1="00000000" w:usb2="00000000" w:usb3="00000000" w:csb0="00000000" w:csb1="00000000"/>
  </w:font>
  <w:font w:name="ZLWCOz-10">
    <w:altName w:val="Segoe Print"/>
    <w:panose1 w:val="00000000000000000000"/>
    <w:charset w:val="00"/>
    <w:family w:val="auto"/>
    <w:pitch w:val="default"/>
    <w:sig w:usb0="00000000" w:usb1="00000000" w:usb2="00000000" w:usb3="00000000" w:csb0="00000000" w:csb1="00000000"/>
  </w:font>
  <w:font w:name="ZLWCO2-27">
    <w:altName w:val="Segoe Print"/>
    <w:panose1 w:val="00000000000000000000"/>
    <w:charset w:val="00"/>
    <w:family w:val="auto"/>
    <w:pitch w:val="default"/>
    <w:sig w:usb0="00000000" w:usb1="00000000" w:usb2="00000000" w:usb3="00000000" w:csb0="00000000" w:csb1="00000000"/>
  </w:font>
  <w:font w:name="ZLWCO1-25">
    <w:altName w:val="Segoe Print"/>
    <w:panose1 w:val="00000000000000000000"/>
    <w:charset w:val="00"/>
    <w:family w:val="auto"/>
    <w:pitch w:val="default"/>
    <w:sig w:usb0="00000000" w:usb1="00000000" w:usb2="00000000" w:usb3="00000000" w:csb0="00000000" w:csb1="00000000"/>
  </w:font>
  <w:font w:name="ZLWCO8-38">
    <w:altName w:val="Segoe Print"/>
    <w:panose1 w:val="00000000000000000000"/>
    <w:charset w:val="00"/>
    <w:family w:val="auto"/>
    <w:pitch w:val="default"/>
    <w:sig w:usb0="00000000" w:usb1="00000000" w:usb2="00000000" w:usb3="00000000" w:csb0="00000000" w:csb1="00000000"/>
  </w:font>
  <w:font w:name="ZLWCOz-12">
    <w:altName w:val="Segoe Print"/>
    <w:panose1 w:val="00000000000000000000"/>
    <w:charset w:val="00"/>
    <w:family w:val="auto"/>
    <w:pitch w:val="default"/>
    <w:sig w:usb0="00000000" w:usb1="00000000" w:usb2="00000000" w:usb3="00000000" w:csb0="00000000" w:csb1="00000000"/>
  </w:font>
  <w:font w:name="SSJ0">
    <w:altName w:val="Segoe Print"/>
    <w:panose1 w:val="00000000000000000000"/>
    <w:charset w:val="00"/>
    <w:family w:val="auto"/>
    <w:pitch w:val="default"/>
    <w:sig w:usb0="00000000" w:usb1="00000000" w:usb2="00000000" w:usb3="00000000" w:csb0="00000000" w:csb1="00000000"/>
  </w:font>
  <w:font w:name="ZLWCO4-30">
    <w:altName w:val="Segoe Print"/>
    <w:panose1 w:val="00000000000000000000"/>
    <w:charset w:val="00"/>
    <w:family w:val="auto"/>
    <w:pitch w:val="default"/>
    <w:sig w:usb0="00000000" w:usb1="00000000" w:usb2="00000000" w:usb3="00000000" w:csb0="00000000" w:csb1="00000000"/>
  </w:font>
  <w:font w:name="ZLWCO7-34">
    <w:altName w:val="Segoe Print"/>
    <w:panose1 w:val="00000000000000000000"/>
    <w:charset w:val="00"/>
    <w:family w:val="auto"/>
    <w:pitch w:val="default"/>
    <w:sig w:usb0="00000000" w:usb1="00000000" w:usb2="00000000" w:usb3="00000000" w:csb0="00000000" w:csb1="00000000"/>
  </w:font>
  <w:font w:name="ZLWCOz-11">
    <w:altName w:val="Segoe Print"/>
    <w:panose1 w:val="00000000000000000000"/>
    <w:charset w:val="00"/>
    <w:family w:val="auto"/>
    <w:pitch w:val="default"/>
    <w:sig w:usb0="00000000" w:usb1="00000000" w:usb2="00000000" w:usb3="00000000" w:csb0="00000000" w:csb1="00000000"/>
  </w:font>
  <w:font w:name="E-BZ">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ZLWCPA-39">
    <w:altName w:val="Segoe Print"/>
    <w:panose1 w:val="00000000000000000000"/>
    <w:charset w:val="00"/>
    <w:family w:val="auto"/>
    <w:pitch w:val="default"/>
    <w:sig w:usb0="00000000" w:usb1="00000000" w:usb2="00000000" w:usb3="00000000" w:csb0="00000000" w:csb1="00000000"/>
  </w:font>
  <w:font w:name="ZLWCO5-32">
    <w:altName w:val="Segoe Print"/>
    <w:panose1 w:val="00000000000000000000"/>
    <w:charset w:val="00"/>
    <w:family w:val="auto"/>
    <w:pitch w:val="default"/>
    <w:sig w:usb0="00000000" w:usb1="00000000" w:usb2="00000000" w:usb3="00000000" w:csb0="00000000" w:csb1="00000000"/>
  </w:font>
  <w:font w:name="ZLWCO2-26">
    <w:altName w:val="Segoe Print"/>
    <w:panose1 w:val="00000000000000000000"/>
    <w:charset w:val="00"/>
    <w:family w:val="auto"/>
    <w:pitch w:val="default"/>
    <w:sig w:usb0="00000000" w:usb1="00000000" w:usb2="00000000" w:usb3="00000000" w:csb0="00000000" w:csb1="00000000"/>
  </w:font>
  <w:font w:name="E-HZ">
    <w:altName w:val="Segoe Print"/>
    <w:panose1 w:val="00000000000000000000"/>
    <w:charset w:val="00"/>
    <w:family w:val="auto"/>
    <w:pitch w:val="default"/>
    <w:sig w:usb0="00000000" w:usb1="00000000" w:usb2="00000000" w:usb3="00000000" w:csb0="00000000" w:csb1="00000000"/>
  </w:font>
  <w:font w:name="ZLWCO6-33">
    <w:altName w:val="Segoe Print"/>
    <w:panose1 w:val="00000000000000000000"/>
    <w:charset w:val="00"/>
    <w:family w:val="auto"/>
    <w:pitch w:val="default"/>
    <w:sig w:usb0="00000000" w:usb1="00000000" w:usb2="00000000" w:usb3="00000000" w:csb0="00000000" w:csb1="00000000"/>
  </w:font>
  <w:font w:name="ZLWCO8-36">
    <w:altName w:val="Segoe Print"/>
    <w:panose1 w:val="00000000000000000000"/>
    <w:charset w:val="00"/>
    <w:family w:val="auto"/>
    <w:pitch w:val="default"/>
    <w:sig w:usb0="00000000" w:usb1="00000000" w:usb2="00000000" w:usb3="00000000" w:csb0="00000000" w:csb1="00000000"/>
  </w:font>
  <w:font w:name="KTJ0">
    <w:altName w:val="Segoe Print"/>
    <w:panose1 w:val="00000000000000000000"/>
    <w:charset w:val="00"/>
    <w:family w:val="auto"/>
    <w:pitch w:val="default"/>
    <w:sig w:usb0="00000000" w:usb1="00000000" w:usb2="00000000" w:usb3="00000000" w:csb0="00000000" w:csb1="00000000"/>
  </w:font>
  <w:font w:name="ZLWCOz-14">
    <w:altName w:val="Segoe Print"/>
    <w:panose1 w:val="00000000000000000000"/>
    <w:charset w:val="00"/>
    <w:family w:val="auto"/>
    <w:pitch w:val="default"/>
    <w:sig w:usb0="00000000" w:usb1="00000000" w:usb2="00000000" w:usb3="00000000" w:csb0="00000000" w:csb1="00000000"/>
  </w:font>
  <w:font w:name="ZLWCPB-40">
    <w:altName w:val="Segoe Print"/>
    <w:panose1 w:val="00000000000000000000"/>
    <w:charset w:val="00"/>
    <w:family w:val="auto"/>
    <w:pitch w:val="default"/>
    <w:sig w:usb0="00000000" w:usb1="00000000" w:usb2="00000000" w:usb3="00000000" w:csb0="00000000" w:csb1="00000000"/>
  </w:font>
  <w:font w:name="ZLWCPB-41">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4NGU2ZDkzODE5OWFhOGFkMGEyMTc2MDFjOTYzMzgifQ=="/>
  </w:docVars>
  <w:rsids>
    <w:rsidRoot w:val="48C75430"/>
    <w:rsid w:val="0B36519B"/>
    <w:rsid w:val="48C75430"/>
    <w:rsid w:val="6D7B2CDB"/>
    <w:rsid w:val="79FB3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112</Words>
  <Characters>115</Characters>
  <Lines>0</Lines>
  <Paragraphs>0</Paragraphs>
  <TotalTime>17</TotalTime>
  <ScaleCrop>false</ScaleCrop>
  <LinksUpToDate>false</LinksUpToDate>
  <CharactersWithSpaces>232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2023-04-09T14:20:00Z</dcterms:created>
  <dc:creator>莹</dc:creator>
  <cp:lastModifiedBy>莹</cp:lastModifiedBy>
  <dcterms:modified xsi:type="dcterms:W3CDTF">2023-04-09T15:26:38Z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D79D46B7C0364793B3A7FDD7C33B7847_11</vt:lpwstr>
  </property>
</Properties>
</file>