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44"/>
          <w:szCs w:val="44"/>
        </w:rPr>
      </w:pPr>
      <w:r>
        <w:rPr>
          <w:rFonts w:hint="eastAsia" w:ascii="黑体" w:hAnsi="黑体" w:eastAsia="黑体"/>
          <w:b/>
          <w:sz w:val="44"/>
          <w:szCs w:val="44"/>
        </w:rPr>
        <w:t>泰安市中医医院师承教育工作</w:t>
      </w:r>
    </w:p>
    <w:p>
      <w:pPr>
        <w:jc w:val="center"/>
        <w:rPr>
          <w:rFonts w:hint="eastAsia" w:ascii="宋体" w:hAnsi="宋体"/>
          <w:b/>
          <w:sz w:val="44"/>
          <w:szCs w:val="44"/>
        </w:rPr>
      </w:pPr>
      <w:r>
        <w:rPr>
          <w:rFonts w:hint="eastAsia" w:ascii="黑体" w:hAnsi="黑体" w:eastAsia="黑体"/>
          <w:b/>
          <w:sz w:val="44"/>
          <w:szCs w:val="44"/>
        </w:rPr>
        <w:t>跟 师 每 月 心 得</w:t>
      </w:r>
    </w:p>
    <w:p>
      <w:pPr>
        <w:ind w:firstLine="1440" w:firstLineChars="600"/>
        <w:rPr>
          <w:rFonts w:hint="eastAsia" w:ascii="仿宋_GB2312" w:eastAsia="仿宋_GB2312"/>
          <w:sz w:val="24"/>
        </w:rPr>
      </w:pPr>
    </w:p>
    <w:p>
      <w:pPr>
        <w:ind w:firstLine="1440" w:firstLineChars="600"/>
        <w:rPr>
          <w:rFonts w:ascii="仿宋_GB2312" w:eastAsia="仿宋_GB2312"/>
          <w:sz w:val="24"/>
        </w:rPr>
      </w:pPr>
      <w:r>
        <w:rPr>
          <w:rFonts w:hint="eastAsia" w:ascii="仿宋_GB2312" w:eastAsia="仿宋_GB2312"/>
          <w:sz w:val="24"/>
        </w:rPr>
        <w:t>起止时间：         年   月   日至          年     月    日</w:t>
      </w:r>
    </w:p>
    <w:tbl>
      <w:tblPr>
        <w:tblStyle w:val="2"/>
        <w:tblW w:w="53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29"/>
        <w:gridCol w:w="2131"/>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69" w:type="pct"/>
            <w:noWrap w:val="0"/>
            <w:vAlign w:val="center"/>
          </w:tcPr>
          <w:p>
            <w:pPr>
              <w:jc w:val="center"/>
              <w:rPr>
                <w:rFonts w:ascii="仿宋_GB2312" w:eastAsia="仿宋_GB2312"/>
                <w:sz w:val="30"/>
                <w:szCs w:val="30"/>
              </w:rPr>
            </w:pPr>
            <w:r>
              <w:rPr>
                <w:rFonts w:hint="eastAsia" w:ascii="仿宋_GB2312" w:eastAsia="仿宋_GB2312"/>
                <w:sz w:val="30"/>
                <w:szCs w:val="30"/>
              </w:rPr>
              <w:t>继承人姓名</w:t>
            </w:r>
          </w:p>
        </w:tc>
        <w:tc>
          <w:tcPr>
            <w:tcW w:w="1169" w:type="pct"/>
            <w:noWrap w:val="0"/>
            <w:vAlign w:val="top"/>
          </w:tcPr>
          <w:p>
            <w:pPr>
              <w:rPr>
                <w:rFonts w:ascii="仿宋_GB2312" w:eastAsia="仿宋_GB2312"/>
                <w:sz w:val="30"/>
                <w:szCs w:val="30"/>
              </w:rPr>
            </w:pPr>
          </w:p>
        </w:tc>
        <w:tc>
          <w:tcPr>
            <w:tcW w:w="1170" w:type="pct"/>
            <w:noWrap w:val="0"/>
            <w:vAlign w:val="center"/>
          </w:tcPr>
          <w:p>
            <w:pPr>
              <w:jc w:val="center"/>
              <w:rPr>
                <w:rFonts w:ascii="仿宋_GB2312" w:eastAsia="仿宋_GB2312"/>
                <w:sz w:val="30"/>
                <w:szCs w:val="30"/>
              </w:rPr>
            </w:pPr>
            <w:r>
              <w:rPr>
                <w:rFonts w:hint="eastAsia" w:ascii="仿宋_GB2312" w:eastAsia="仿宋_GB2312"/>
                <w:sz w:val="30"/>
                <w:szCs w:val="30"/>
              </w:rPr>
              <w:t>指导老师姓名</w:t>
            </w:r>
          </w:p>
        </w:tc>
        <w:tc>
          <w:tcPr>
            <w:tcW w:w="1492" w:type="pct"/>
            <w:noWrap w:val="0"/>
            <w:vAlign w:val="top"/>
          </w:tcPr>
          <w:p>
            <w:pPr>
              <w:rPr>
                <w:rFonts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top"/>
          </w:tcPr>
          <w:p>
            <w:pPr>
              <w:rPr>
                <w:rFonts w:ascii="仿宋_GB2312" w:eastAsia="仿宋_GB2312"/>
                <w:sz w:val="30"/>
                <w:szCs w:val="30"/>
              </w:rPr>
            </w:pPr>
            <w:r>
              <w:rPr>
                <w:rFonts w:hint="eastAsia" w:ascii="仿宋_GB2312" w:eastAsia="仿宋_GB2312"/>
                <w:sz w:val="30"/>
                <w:szCs w:val="30"/>
              </w:rPr>
              <w:t>本月跟师临证（实践）主要病种（内容）：</w:t>
            </w:r>
          </w:p>
          <w:p>
            <w:pPr>
              <w:rPr>
                <w:rFonts w:hint="default" w:ascii="仿宋_GB2312" w:eastAsia="仿宋_GB2312"/>
                <w:sz w:val="30"/>
                <w:szCs w:val="30"/>
                <w:lang w:val="en-US" w:eastAsia="zh-CN"/>
              </w:rPr>
            </w:pPr>
            <w:r>
              <w:rPr>
                <w:rFonts w:hint="eastAsia" w:ascii="仿宋_GB2312" w:eastAsia="仿宋_GB2312"/>
                <w:sz w:val="30"/>
                <w:szCs w:val="30"/>
                <w:lang w:val="en-US" w:eastAsia="zh-CN"/>
              </w:rPr>
              <w:t>缺血性中风病机及治法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000" w:type="pct"/>
            <w:gridSpan w:val="4"/>
            <w:noWrap w:val="0"/>
            <w:vAlign w:val="center"/>
          </w:tcPr>
          <w:p>
            <w:pPr>
              <w:rPr>
                <w:rFonts w:ascii="仿宋_GB2312" w:eastAsia="仿宋_GB2312"/>
                <w:sz w:val="30"/>
                <w:szCs w:val="30"/>
              </w:rPr>
            </w:pPr>
            <w:r>
              <w:rPr>
                <w:rFonts w:hint="eastAsia" w:ascii="仿宋_GB2312" w:eastAsia="仿宋_GB2312"/>
                <w:sz w:val="30"/>
                <w:szCs w:val="30"/>
              </w:rPr>
              <w:t>本月跟师心得体会</w:t>
            </w:r>
            <w:r>
              <w:rPr>
                <w:rFonts w:hint="eastAsia" w:ascii="仿宋_GB2312" w:eastAsia="仿宋_GB2312"/>
                <w:sz w:val="24"/>
              </w:rPr>
              <w:t>（要求理论联系实际，不少于1000字。可附页）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2" w:hRule="atLeast"/>
          <w:jc w:val="center"/>
        </w:trPr>
        <w:tc>
          <w:tcPr>
            <w:tcW w:w="5000" w:type="pct"/>
            <w:gridSpan w:val="4"/>
            <w:noWrap w:val="0"/>
            <w:vAlign w:val="top"/>
          </w:tcPr>
          <w:p>
            <w:r>
              <w:rPr>
                <w:rFonts w:hint="eastAsia"/>
                <w:lang w:val="en-US" w:eastAsia="zh-CN"/>
              </w:rPr>
              <w:t xml:space="preserve">气虚血瘀痰阻是脑梗塞主要病机 </w:t>
            </w:r>
          </w:p>
          <w:p>
            <w:r>
              <w:rPr>
                <w:rFonts w:hint="eastAsia"/>
                <w:lang w:val="en-US" w:eastAsia="zh-CN"/>
              </w:rPr>
              <w:t xml:space="preserve">中医学无脑梗塞的病名诊断，但根据其临床表现属于“中风”范畴，对其病因病机具有丰富的论述。《灵枢·刺节真邪》云：“虚邪偏客于身半，其入深，内居营卫，营卫稍衰则真气去，邪气独留，发为偏枯。”指出营卫气虚则邪气侵袭机体而发为中风，此邪气不能简单的理解为风邪，亦应包括内生之邪，如痰浊、血瘀等病理产物。《诸病源候论》云：“半身不遂，脾胃虚弱，血气偏虚，为风邪所乘。”《医经溯洄集·中风辨》云：“中风者，非外来风邪，乃本气病也。凡人年逾四旬，气衰之际，或因忧喜忿怒伤其气者，多有此疾。壮岁之时无有也，若肥盛则间有之，亦是形盛气衰而如此。”这表明气虚是中风发病的重要因素，明确的突破了传统的外风论，是中风病因病机理论的重要转折点。《医林改错》云：“元气既虚，必不能达于血管，血管无气，必停留而瘀……以一气虚血瘀之症，反用散风清火之方，安得不错。”该论述表明，气虚是中风的根本因素，血瘀是病理产物，明确提出了气虚血瘀是中风的病机。王琦研等 </w:t>
            </w:r>
            <w:r>
              <w:rPr>
                <w:rFonts w:hint="default"/>
                <w:lang w:val="en-US" w:eastAsia="zh-CN"/>
              </w:rPr>
              <w:t>[3]</w:t>
            </w:r>
            <w:r>
              <w:rPr>
                <w:rFonts w:hint="eastAsia"/>
                <w:lang w:val="en-US" w:eastAsia="zh-CN"/>
              </w:rPr>
              <w:t xml:space="preserve">、李济春 </w:t>
            </w:r>
            <w:r>
              <w:rPr>
                <w:rFonts w:hint="default"/>
                <w:lang w:val="en-US" w:eastAsia="zh-CN"/>
              </w:rPr>
              <w:t>[4]</w:t>
            </w:r>
            <w:r>
              <w:rPr>
                <w:rFonts w:hint="eastAsia"/>
                <w:lang w:val="en-US" w:eastAsia="zh-CN"/>
              </w:rPr>
              <w:t xml:space="preserve">、赵拥军等 </w:t>
            </w:r>
            <w:r>
              <w:rPr>
                <w:rFonts w:hint="default"/>
                <w:lang w:val="en-US" w:eastAsia="zh-CN"/>
              </w:rPr>
              <w:t>[5]</w:t>
            </w:r>
            <w:r>
              <w:rPr>
                <w:rFonts w:hint="eastAsia"/>
                <w:lang w:val="en-US" w:eastAsia="zh-CN"/>
              </w:rPr>
              <w:t xml:space="preserve">亦认为气虚血瘀是中风的主要病机。张树泉教授在历代医家论述的基础上，结合临床实践、患病人群特点及自身理论认识，认为脑梗塞的主要病机为气虚血瘀痰阻，气虚为病之本，血瘀、痰浊为病之标。临床上中风人群以老年人较为常见，诚如《杂病源流犀烛·中风》云：“人 </w:t>
            </w:r>
          </w:p>
          <w:p>
            <w:r>
              <w:rPr>
                <w:rFonts w:hint="eastAsia"/>
                <w:lang w:val="en-US" w:eastAsia="zh-CN"/>
              </w:rPr>
              <w:t xml:space="preserve">之五六十岁，气血就衰，乃有中风之病，少壮无是也。”随着年龄的增长，气血逐渐耗损，脾肾阳虚渐亏，致使机体正气不足，无力抵御外邪侵袭。气、血是构成和维持人体生命活动的基本物质，诚如《医门法律》云：“气聚则形成，气散则形散”，《灵枢·平人绝谷》云：“血脉和利，精神乃居”。因此，气的升降出入运动失常及血的运行与濡养功能失常是中风病发病的重要条件。气、血、津、液之间生理上具有密切联系，病理上相互影响。气属阳，血、津液均属阴，生理上气能行血、行津液、鼓动脉道，病理上气虚则推动无力，血行迟缓而形成血瘀，且无以升清降浊，脑窍失养；气虚则肺主宣发肃降、脾主水液运化、肾主水液蒸腾、三焦通调水道功能失司，津液停聚，痰浊内生。瘀血内阻，脉道不利，津液停聚，痰浊内生；痰浊内生，阻碍气机，血行不畅，瘀血自成。瘀血与痰浊属阴邪，均来源于病理性津液，具有内在的关联性，瘀血与痰浊可相互影响，因瘀致痰、因痰致瘀，形成恶性循环，为痰瘀互结奠定了理论基础，诚如《医学正传》云：“津液粘稠，为痰为饮，积久渗入脉中，血为之浊”。《血证论》云：“须知痰水之壅，有瘀血使然”“血积既久，亦能化为痰水”。因此，气虚可致血瘀、痰浊，加之痰瘀相互结合，阻碍经络，闭阻脑窍，气血不能上荣，则发为脑梗塞。此外，朱丹溪亦指出“半身不遂，大率多痰，在左属死血、瘀血，在右属痰有热，并气虚”。这表明，中风发病因素有气虚、血瘀、痰浊。 </w:t>
            </w:r>
          </w:p>
          <w:p>
            <w:r>
              <w:rPr>
                <w:lang w:val="en-US" w:eastAsia="zh-CN"/>
              </w:rPr>
              <w:t xml:space="preserve">2 </w:t>
            </w:r>
            <w:r>
              <w:rPr>
                <w:rFonts w:hint="eastAsia"/>
                <w:lang w:val="en-US" w:eastAsia="zh-CN"/>
              </w:rPr>
              <w:t xml:space="preserve">益气活血化痰法是脑梗塞主要治法 </w:t>
            </w:r>
          </w:p>
          <w:p>
            <w:r>
              <w:rPr>
                <w:rFonts w:hint="eastAsia"/>
                <w:lang w:val="en-US" w:eastAsia="zh-CN"/>
              </w:rPr>
              <w:t xml:space="preserve">基于脑梗塞气虚血瘀痰阻的病机，遵“治病必求于本的基本原则，治法宜选用益气活血化痰法，且应贯穿于脑梗塞治疗的始终。该治法的确立具有较明确的理论基础、实验及临床依据。 《仁斋直指方》云：“盖气者，血之帅也，气行则血行，气止则血止，气温则血滑，气寒则血凝，气有一息不通，则血有一息不行。”这表明，益气有助于行血，消除血瘀形成之因，亦有助于化痰，且促进气血的化生，根本上改变气虚血瘀状态。孙一奎指出“治痰先治气，气顺则痰消”。该论述强调了痰浊与调气之间的紧密关系。针对气虚所致痰浊，瘀血与痰浊相互结合，治宜益气以行津液，消除痰浊内生之因，亦有助于化瘀。张树泉等 </w:t>
            </w:r>
            <w:r>
              <w:rPr>
                <w:rFonts w:hint="default"/>
                <w:lang w:val="en-US" w:eastAsia="zh-CN"/>
              </w:rPr>
              <w:t xml:space="preserve">[6] </w:t>
            </w:r>
            <w:r>
              <w:rPr>
                <w:rFonts w:hint="eastAsia"/>
                <w:lang w:val="en-US" w:eastAsia="zh-CN"/>
              </w:rPr>
              <w:t xml:space="preserve">采用益气活血化痰法指导下拟定的补肾活血化痰方治疗缺血性脑损伤大鼠，能够显著降低大鼠缺血边缘区神经细胞凋亡数目，阻止迟发性神经元死亡，改善受损的神经功能，发挥缺血再灌注脑损伤保护作用。秦保锋 </w:t>
            </w:r>
            <w:r>
              <w:rPr>
                <w:rFonts w:hint="default"/>
                <w:lang w:val="en-US" w:eastAsia="zh-CN"/>
              </w:rPr>
              <w:t>[7]</w:t>
            </w:r>
            <w:r>
              <w:rPr>
                <w:rFonts w:hint="eastAsia"/>
                <w:lang w:val="en-US" w:eastAsia="zh-CN"/>
              </w:rPr>
              <w:t>、陈世宏等</w:t>
            </w:r>
            <w:r>
              <w:rPr>
                <w:rFonts w:hint="default"/>
                <w:lang w:val="en-US" w:eastAsia="zh-CN"/>
              </w:rPr>
              <w:t xml:space="preserve">[8] </w:t>
            </w:r>
            <w:r>
              <w:rPr>
                <w:rFonts w:hint="eastAsia"/>
                <w:lang w:val="en-US" w:eastAsia="zh-CN"/>
              </w:rPr>
              <w:t xml:space="preserve">采用益气活血化痰方治疗缺血性脑卒中 </w:t>
            </w:r>
            <w:r>
              <w:rPr>
                <w:rFonts w:hint="default"/>
                <w:lang w:val="en-US" w:eastAsia="zh-CN"/>
              </w:rPr>
              <w:t xml:space="preserve">30 </w:t>
            </w:r>
            <w:r>
              <w:rPr>
                <w:rFonts w:hint="eastAsia"/>
                <w:lang w:val="en-US" w:eastAsia="zh-CN"/>
              </w:rPr>
              <w:t xml:space="preserve">例，结果显示治疗组临床总有效率显著高于对照组，且对神经功能缺损评分及血黏度改善情况优于对照组，表明该方能够降低血黏度，改善微循环，提高临床疗效，其作用机制可能与保护神机细胞功能有关。边永红 </w:t>
            </w:r>
            <w:r>
              <w:rPr>
                <w:rFonts w:hint="default"/>
                <w:lang w:val="en-US" w:eastAsia="zh-CN"/>
              </w:rPr>
              <w:t xml:space="preserve">[9] </w:t>
            </w:r>
            <w:r>
              <w:rPr>
                <w:rFonts w:hint="eastAsia"/>
                <w:lang w:val="en-US" w:eastAsia="zh-CN"/>
              </w:rPr>
              <w:t>采用益气活血化痰法治疗中风后遗症，能够</w:t>
            </w:r>
            <w:bookmarkStart w:id="0" w:name="_GoBack"/>
            <w:bookmarkEnd w:id="0"/>
            <w:r>
              <w:rPr>
                <w:rFonts w:hint="eastAsia"/>
                <w:lang w:val="en-US" w:eastAsia="zh-CN"/>
              </w:rPr>
              <w:t>显著改善血液流变学，降低血脂水平，提高临床疗效。</w:t>
            </w:r>
          </w:p>
          <w:p/>
          <w:p>
            <w:pPr>
              <w:rPr>
                <w:rFonts w:hint="eastAsia" w:ascii="仿宋_GB2312" w:eastAsia="仿宋_GB2312"/>
                <w:sz w:val="30"/>
                <w:szCs w:val="30"/>
              </w:rPr>
            </w:pPr>
          </w:p>
          <w:p>
            <w:pPr>
              <w:rPr>
                <w:rFonts w:ascii="仿宋_GB2312" w:eastAsia="仿宋_GB2312"/>
                <w:sz w:val="30"/>
                <w:szCs w:val="30"/>
              </w:rPr>
            </w:pPr>
            <w:r>
              <w:rPr>
                <w:rFonts w:hint="eastAsia" w:ascii="仿宋_GB2312" w:eastAsia="仿宋_GB2312"/>
                <w:sz w:val="30"/>
                <w:szCs w:val="30"/>
              </w:rPr>
              <w:t xml:space="preserve">                               签名：</w:t>
            </w:r>
          </w:p>
          <w:p>
            <w:pPr>
              <w:rPr>
                <w:rFonts w:ascii="仿宋_GB2312" w:eastAsia="仿宋_GB2312"/>
                <w:sz w:val="30"/>
                <w:szCs w:val="30"/>
              </w:rPr>
            </w:pPr>
            <w:r>
              <w:rPr>
                <w:rFonts w:hint="eastAsia" w:ascii="仿宋_GB2312" w:eastAsia="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top"/>
          </w:tcPr>
          <w:p>
            <w:pPr>
              <w:rPr>
                <w:rFonts w:ascii="仿宋_GB2312" w:eastAsia="仿宋_GB2312"/>
                <w:sz w:val="30"/>
                <w:szCs w:val="30"/>
              </w:rPr>
            </w:pPr>
            <w:r>
              <w:rPr>
                <w:rFonts w:hint="eastAsia" w:ascii="仿宋_GB2312" w:eastAsia="仿宋_GB2312"/>
                <w:sz w:val="30"/>
                <w:szCs w:val="30"/>
              </w:rPr>
              <w:t>指导老师批阅意见：</w:t>
            </w: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ascii="仿宋_GB2312" w:eastAsia="仿宋_GB2312"/>
                <w:sz w:val="30"/>
                <w:szCs w:val="30"/>
              </w:rPr>
            </w:pPr>
          </w:p>
          <w:p>
            <w:pPr>
              <w:ind w:firstLine="4800" w:firstLineChars="1600"/>
              <w:rPr>
                <w:rFonts w:ascii="仿宋_GB2312" w:eastAsia="仿宋_GB2312"/>
                <w:sz w:val="30"/>
                <w:szCs w:val="30"/>
              </w:rPr>
            </w:pPr>
            <w:r>
              <w:rPr>
                <w:rFonts w:hint="eastAsia" w:ascii="仿宋_GB2312" w:eastAsia="仿宋_GB2312"/>
                <w:sz w:val="30"/>
                <w:szCs w:val="30"/>
              </w:rPr>
              <w:t>签名：</w:t>
            </w:r>
          </w:p>
          <w:p>
            <w:pPr>
              <w:ind w:firstLine="5850" w:firstLineChars="1950"/>
              <w:rPr>
                <w:rFonts w:ascii="仿宋_GB2312" w:eastAsia="仿宋_GB2312"/>
                <w:sz w:val="30"/>
                <w:szCs w:val="30"/>
              </w:rPr>
            </w:pPr>
            <w:r>
              <w:rPr>
                <w:rFonts w:hint="eastAsia" w:ascii="仿宋_GB2312" w:eastAsia="仿宋_GB2312"/>
                <w:sz w:val="30"/>
                <w:szCs w:val="30"/>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4NGU2ZDkzODE5OWFhOGFkMGEyMTc2MDFjOTYzMzgifQ=="/>
  </w:docVars>
  <w:rsids>
    <w:rsidRoot w:val="48C75430"/>
    <w:rsid w:val="48C75430"/>
    <w:rsid w:val="52497D46"/>
    <w:rsid w:val="6D7B2CDB"/>
    <w:rsid w:val="79FB3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110</Words>
  <Characters>113</Characters>
  <Lines>0</Lines>
  <Paragraphs>0</Paragraphs>
  <TotalTime>17</TotalTime>
  <ScaleCrop>false</ScaleCrop>
  <LinksUpToDate>false</LinksUpToDate>
  <CharactersWithSpaces>230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2023-04-09T14:20:00Z</dcterms:created>
  <dc:creator>莹</dc:creator>
  <cp:lastModifiedBy>莹</cp:lastModifiedBy>
  <dcterms:modified xsi:type="dcterms:W3CDTF">2023-04-09T15:30:25Z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D79D46B7C0364793B3A7FDD7C33B7847_11</vt:lpwstr>
  </property>
</Properties>
</file>